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lang w:val="en-GB" w:eastAsia="en-GB" w:bidi="en-GB"/>
        </w:rPr>
      </w:pPr>
      <w:r>
        <w:rPr>
          <w:rFonts w:ascii="Arial" w:hAnsi="Arial" w:eastAsia="Arial" w:cs="Arial"/>
          <w:b/>
          <w:bCs/>
          <w:color w:val="000000"/>
          <w:lang w:val="en-GB" w:eastAsia="en-GB" w:bidi="en-GB"/>
        </w:rPr>
        <w:t xml:space="preserve">Manchester Local Care Organisation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81" w:line="271"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Physiotherapist Level 2, Grade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Moving and Handling Optimisation Team, Adults’ Directorate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9" w:line="273" w:lineRule="exact"/>
        <w:jc w:val="center"/>
        <w:rPr>
          <w:rFonts w:ascii="Arial" w:hAnsi="Arial" w:eastAsia="Arial" w:cs="Arial"/>
          <w:b/>
          <w:bCs/>
          <w:color w:val="000000"/>
          <w:lang w:val="en-US" w:eastAsia="en-US" w:bidi="en-US"/>
        </w:rPr>
      </w:pPr>
      <w:r>
        <w:rPr>
          <w:rFonts w:ascii="Arial" w:hAnsi="Arial" w:eastAsia="Arial" w:cs="Arial"/>
          <w:b/>
          <w:bCs/>
          <w:color w:val="000000"/>
          <w:lang w:val="en-US" w:eastAsia="en-US" w:bidi="en-US"/>
        </w:rPr>
        <w:t xml:space="preserve">Reports to: Moving and Handling Optimisation Team Manager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color w:val="000000"/>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color w:val="000000"/>
          <w:lang w:val="en-US" w:eastAsia="en-US" w:bidi="en-US"/>
        </w:rPr>
        <w:t xml:space="preserve">Job Family: People Care &amp; Support Direct</w:t>
      </w:r>
    </w:p>
    <w:p>
      <w:pPr>
        <w:pStyle w:val="Normal"/>
        <w:tabs>
          <w:tab w:val="left" w:pos="54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lang w:val="en-GB" w:eastAsia="en-GB" w:bidi="en-GB"/>
        </w:rPr>
      </w:pPr>
      <w:r>
        <w:rPr>
          <w:rFonts w:ascii="Arial" w:hAnsi="Arial" w:eastAsia="Arial" w:cs="Arial"/>
          <w:b/>
          <w:bCs/>
          <w:lang w:val="en-GB" w:eastAsia="en-GB" w:bidi="en-GB"/>
        </w:rPr>
        <w:t xml:space="preserv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lang w:val="en-GB" w:eastAsia="en-GB" w:bidi="en-GB"/>
        </w:rPr>
      </w:pPr>
      <w:r>
        <w:rPr>
          <w:rFonts w:ascii="Arial" w:hAnsi="Arial" w:eastAsia="Arial" w:cs="Arial"/>
          <w:b/>
          <w:bCs/>
          <w:lang w:val="en-GB" w:eastAsia="en-GB" w:bidi="en-GB"/>
        </w:rPr>
        <w:t xml:space="preserve">Key Role Descriptors: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work to provide direct support for individuals and families in accordance with statutory responsibilities and local and national policies and procedures, effectively identifying cases and/or managing a caseload in order to secure positive outcomes for Manchester residents.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lead the effective development of partnership approaches in order to safeguard individuals through the effective management of safeguarding risk and the recording and sharing of information.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ensure that through effective advice, planning and support and the utilisation of ‘joined up’ approaches, individuals are able to access services appropriate for their identified needs.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The role holder will support the leadership of the team and service through the provision of advice and supervision to colleagues, contributing to the ongoing development of staff, students and trainees.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Effectively manage and be accountable for a caseload of high level and often complex cases through advice, guidance and supervision to improve outcomes for individuals and associated parties while ensuring adherence to statutory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Undertake a key role in cooperation with partners and stakeholders to ensure safeguarding processes and procedures are in place to protect individuals. Identify, challenge and develop solutions to any possible safeguarding risks for vulnerable residents of the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Work in conjunction with and provide consultation to partner agencies to deliver effective planning to ensure positive outcomes for vulnerable residents of Manchester. This will include representing the City Council at a range of meetings, proceedings and reviews as required.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Actively engage in team and service development including the promotion of innovative and new ideas and techniques to improve service performance and outcomes.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Efficiently prepare and produce high quality documentation and reports and contribute to effective data recording in accordance with statutory accountabilities and timescales to improve outcomes and the safeguarding of individuals.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Proactively establish, develop and maintain relationships with partner agencies and stakeholders to provide individuals with the opportunity to access suitable services which will assist them in achieving their agreed goals.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Personal commitment to continuous self development and service improvement.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GB" w:eastAsia="en-GB" w:bidi="en-GB"/>
        </w:rPr>
      </w:pPr>
      <w:r>
        <w:rPr>
          <w:rFonts w:ascii="Arial" w:hAnsi="Arial" w:eastAsia="Arial" w:cs="Arial"/>
          <w:color w:val="000000"/>
          <w:lang w:val="en-GB" w:eastAsia="en-GB" w:bidi="en-GB"/>
        </w:rPr>
        <w:t xml:space="preserve">Through personal example, open commitment and clear action, ensure diversity is positively valued, resulting in equal access and treatment in employment, service delivery and communications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76"/>
        <w:ind w:right="72"/>
        <w:rPr>
          <w:rFonts w:ascii="Arial" w:hAnsi="Arial" w:eastAsia="Arial" w:cs="Arial"/>
          <w:color w:val="000000"/>
          <w:lang w:val="en-US" w:eastAsia="en-US" w:bidi="en-US"/>
        </w:rPr>
      </w:pPr>
      <w:r>
        <w:rPr>
          <w:rFonts w:ascii="Arial" w:hAnsi="Arial" w:eastAsia="Arial" w:cs="Arial"/>
          <w:b/>
          <w:bCs/>
          <w:lang w:val="en-GB" w:eastAsia="en-GB" w:bidi="en-GB"/>
        </w:rPr>
        <w:t xml:space="preserve">Where the role holder has a disability, every effort will be made to supply all necessary aids, adaptations or equipment to allow them to carry out all duties of the job. If, however, a certain task proves to be unachievable, job redesign will be given full consideration.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b/>
          <w:bCs/>
          <w:color w:val="000000"/>
          <w:lang w:val="en-GB" w:eastAsia="en-GB" w:bidi="en-GB"/>
        </w:rPr>
        <w:t xml:space="preserve">Role Portfolio: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An exciting opportunity has arisen to help shape, develop, deliver and embed the Physiotherapy role within the Moving and Handling Optimisation Team.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A key principle of the MLCO is maximising people’s independence to reduce care dependency and enable them the achieve the best possible quality of life. </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work within an integrated team of Occupational Therapists, Physiotherapists, Social Workers and Assessment Officers to consider and implement solutions to optimise a citizen’s moving and handling requirements ,and reduce the need for long-term over-prescribed or double handed packages of care.</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Web"/>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The key functions of the role include:</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Completion of functional and holistic assessments, and recommendations for care provision for individuals with complex needs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Planning, implementing and evaluating short term interventions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Moving and handling risk assessments, and handling plans</w:t>
      </w:r>
    </w:p>
    <w:p>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000000"/>
          <w:lang w:val="en-GB" w:eastAsia="en-GB" w:bidi="en-GB"/>
        </w:rPr>
      </w:pPr>
      <w:r>
        <w:rPr>
          <w:rFonts w:ascii="Arial" w:hAnsi="Arial" w:eastAsia="Arial" w:cs="Arial"/>
          <w:color w:val="000000"/>
          <w:lang w:val="en-GB" w:eastAsia="en-GB" w:bidi="en-GB"/>
        </w:rPr>
        <w:t xml:space="preserve">Provision of moving and handling training to families and carers, including being part of the rota to deliver single handed care training to carers and colleagues.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US" w:eastAsia="en-US" w:bidi="en-US"/>
        </w:rPr>
      </w:pPr>
      <w:r>
        <w:rPr>
          <w:rFonts w:ascii="Arial" w:hAnsi="Arial" w:eastAsia="Arial" w:cs="Arial"/>
          <w:color w:val="000000"/>
          <w:lang w:val="en-GB" w:eastAsia="en-GB" w:bidi="en-GB"/>
        </w:rPr>
        <w:t xml:space="preserve">Assess, recommend and review equipment</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Identification of assistive technology, and major adaptations that will promote single handed care solutions, with support provided from team members as required</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US" w:eastAsia="en-US" w:bidi="en-US"/>
        </w:rPr>
      </w:pPr>
      <w:r>
        <w:rPr>
          <w:rFonts w:ascii="Arial" w:hAnsi="Arial" w:eastAsia="Arial" w:cs="Arial"/>
          <w:color w:val="000000"/>
          <w:lang w:val="en-GB" w:eastAsia="en-GB" w:bidi="en-GB"/>
        </w:rPr>
        <w:t xml:space="preserve">Work collaboratively with citizens and their families, other team members and colleagues external to the team such as home care providers, community therapy teams, integrated neighbourhood teams and key stakeholders</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Participation in the development of the team’s processes, including innovative ways of working.</w:t>
      </w:r>
    </w:p>
    <w:p>
      <w:pPr>
        <w:pStyle w:val="NormalWeb"/>
        <w:numPr>
          <w:ilvl w:val="0"/>
          <w:numId w:val="1"/>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color w:val="000000"/>
          <w:lang w:val="en-GB" w:eastAsia="en-GB" w:bidi="en-GB"/>
        </w:rPr>
        <w:t xml:space="preserve">Supervisory </w:t>
      </w:r>
      <w:r>
        <w:rPr>
          <w:rFonts w:ascii="Arial" w:hAnsi="Arial" w:eastAsia="Arial" w:cs="Arial"/>
          <w:lang w:val="en-GB" w:eastAsia="en-GB" w:bidi="en-GB"/>
        </w:rPr>
        <w:t xml:space="preserve">responsibilities including informal and formal supervision of staff within the team</w:t>
      </w:r>
    </w:p>
    <w:p>
      <w:pPr>
        <w:pStyle w:val="NormalWeb"/>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lang w:val="en-GB" w:eastAsia="en-GB" w:bidi="en-GB"/>
        </w:rPr>
      </w:pPr>
      <w:r>
        <w:rPr>
          <w:rFonts w:ascii="Arial" w:hAnsi="Arial" w:eastAsia="Arial" w:cs="Arial"/>
          <w:lang w:val="en-GB" w:eastAsia="en-GB" w:bidi="en-GB"/>
        </w:rPr>
        <w:t xml:space="preserve">Supporting junior staff with identification and reporting of safeguarding concerns</w:t>
      </w:r>
    </w:p>
    <w:p>
      <w:pPr>
        <w:pStyle w:val="NormalWeb"/>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jc w:val="both"/>
        <w:rPr>
          <w:rFonts w:ascii="Arial" w:hAnsi="Arial" w:eastAsia="Arial" w:cs="Arial"/>
          <w:b/>
          <w:bCs/>
          <w:lang w:val="en-GB" w:eastAsia="en-GB" w:bidi="en-GB"/>
        </w:rPr>
      </w:pPr>
      <w:r>
        <w:rPr>
          <w:rFonts w:ascii="Arial" w:hAnsi="Arial" w:eastAsia="Arial" w:cs="Arial"/>
          <w:lang w:val="en-GB" w:eastAsia="en-GB" w:bidi="en-GB"/>
        </w:rPr>
        <w:t xml:space="preserve">Monitoring work coming into the team, allocation of work and completion of reports as requested by Senior Managers.</w:t>
      </w:r>
    </w:p>
    <w:p>
      <w:pPr>
        <w:pStyle w:val="Normal"/>
        <w:shd w:val="clear" w:color="auto" w:fill="FFFFFF"/>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ascii="Arial" w:hAnsi="Arial" w:eastAsia="Arial" w:cs="Arial"/>
          <w:color w:val="000000"/>
          <w:lang w:val="en-US" w:eastAsia="en-US" w:bidi="en-US"/>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bring a strong practice background, particularly in relation to moving and handling, and have the ability to risk assess and implement single handed care solutions. </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r>
        <w:rPr>
          <w:rFonts w:ascii="Arial" w:hAnsi="Arial" w:eastAsia="Arial" w:cs="Arial"/>
          <w:color w:val="000000"/>
          <w:lang w:val="en-GB" w:eastAsia="en-GB" w:bidi="en-GB"/>
        </w:rPr>
        <w:t xml:space="preserve">You will provide a comprehensive and streamlined service to citizens, to maximise independence, choice, safety and quality of life.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3"/>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w:t>
      </w:r>
      <w:r>
        <w:rPr>
          <w:rFonts w:ascii="Arial" w:hAnsi="Arial" w:eastAsia="Arial" w:cs="Arial"/>
          <w:b/>
          <w:bCs/>
          <w:color w:val="000000"/>
          <w:lang w:val="en-GB" w:eastAsia="en-GB" w:bidi="en-GB"/>
        </w:rPr>
        <w:t xml:space="preserve"> Communication Skills:</w:t>
      </w:r>
      <w:r>
        <w:rPr>
          <w:rFonts w:ascii="Arial" w:hAnsi="Arial" w:eastAsia="Arial" w:cs="Arial"/>
          <w:color w:val="000000"/>
          <w:lang w:val="en-GB" w:eastAsia="en-GB" w:bidi="en-GB"/>
        </w:rPr>
        <w:t xml:space="preserve"> Ability to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well-structured and logical way and structures information to meet the needs and understanding of the intended audience.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r>
        <w:rPr>
          <w:rFonts w:ascii="Arial" w:hAnsi="Arial" w:eastAsia="Arial" w:cs="Arial"/>
          <w:b/>
          <w:bCs/>
          <w:color w:val="000000"/>
          <w:lang w:val="en-GB" w:eastAsia="en-GB" w:bidi="en-GB"/>
        </w:rPr>
        <w:t xml:space="preserve">Planning and Organising Skills:</w:t>
      </w:r>
      <w:r>
        <w:rPr>
          <w:rFonts w:ascii="Arial" w:hAnsi="Arial" w:eastAsia="Arial" w:cs="Arial"/>
          <w:color w:val="000000"/>
          <w:lang w:val="en-GB" w:eastAsia="en-GB" w:bidi="en-GB"/>
        </w:rPr>
        <w:t xml:space="preserve"> Demonstrate excellent judgement skills under competing priorities and pressure.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r>
        <w:rPr>
          <w:rFonts w:ascii="Arial" w:hAnsi="Arial" w:eastAsia="Arial" w:cs="Arial"/>
          <w:b/>
          <w:bCs/>
          <w:color w:val="000000"/>
          <w:lang w:val="en-GB" w:eastAsia="en-GB" w:bidi="en-GB"/>
        </w:rPr>
        <w:t xml:space="preserve">Analytical Skills:</w:t>
      </w:r>
      <w:r>
        <w:rPr>
          <w:rFonts w:ascii="Arial" w:hAnsi="Arial" w:eastAsia="Arial" w:cs="Arial"/>
          <w:color w:val="000000"/>
          <w:lang w:val="en-GB" w:eastAsia="en-GB" w:bidi="en-GB"/>
        </w:rPr>
        <w:t xml:space="preserve"> Ability to absorb, understand and quickly assimilate complex information and concepts and compare information from a number of different sources.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r>
        <w:rPr>
          <w:rFonts w:ascii="Arial" w:hAnsi="Arial" w:eastAsia="Arial" w:cs="Arial"/>
          <w:b/>
          <w:bCs/>
          <w:color w:val="000000"/>
          <w:lang w:val="en-GB" w:eastAsia="en-GB" w:bidi="en-GB"/>
        </w:rPr>
        <w:t xml:space="preserve">Problem Solving and Decision Making Skills: </w:t>
      </w:r>
      <w:r>
        <w:rPr>
          <w:rFonts w:ascii="Arial" w:hAnsi="Arial" w:eastAsia="Arial" w:cs="Arial"/>
          <w:color w:val="000000"/>
          <w:lang w:val="en-GB" w:eastAsia="en-GB" w:bidi="en-GB"/>
        </w:rPr>
        <w:t xml:space="preserve">Strong decision making skills with the ability to resolve complex issues in a pressurised environment</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t>
      </w:r>
      <w:r>
        <w:rPr>
          <w:rFonts w:ascii="Arial" w:hAnsi="Arial" w:eastAsia="Arial" w:cs="Arial"/>
          <w:b/>
          <w:bCs/>
          <w:color w:val="000000"/>
          <w:lang w:val="en-GB" w:eastAsia="en-GB" w:bidi="en-GB"/>
        </w:rPr>
        <w:t xml:space="preserve">Creative Skills:</w:t>
      </w:r>
      <w:r>
        <w:rPr>
          <w:rFonts w:ascii="Arial" w:hAnsi="Arial" w:eastAsia="Arial" w:cs="Arial"/>
          <w:color w:val="000000"/>
          <w:lang w:val="en-GB" w:eastAsia="en-GB" w:bidi="en-GB"/>
        </w:rPr>
        <w:t xml:space="preserve"> Ability to find creative solutions where there are no existing parameters or procedural framework.</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w:t>
      </w:r>
      <w:r>
        <w:rPr>
          <w:rFonts w:ascii="Arial" w:hAnsi="Arial" w:eastAsia="Arial" w:cs="Arial"/>
          <w:b/>
          <w:bCs/>
          <w:color w:val="000000"/>
          <w:lang w:val="en-GB" w:eastAsia="en-GB" w:bidi="en-GB"/>
        </w:rPr>
        <w:t xml:space="preserve"> IT Skills:</w:t>
      </w:r>
      <w:r>
        <w:rPr>
          <w:rFonts w:ascii="Arial" w:hAnsi="Arial" w:eastAsia="Arial" w:cs="Arial"/>
          <w:color w:val="000000"/>
          <w:lang w:val="en-GB" w:eastAsia="en-GB" w:bidi="en-GB"/>
        </w:rPr>
        <w:t xml:space="preserve"> Skills to use ICT systems to obtain and analyse data and present it effectively through a variety of ICT channels.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w:t>
      </w:r>
      <w:r>
        <w:rPr>
          <w:rFonts w:ascii="Arial" w:hAnsi="Arial" w:eastAsia="Arial" w:cs="Arial"/>
          <w:b/>
          <w:bCs/>
          <w:color w:val="000000"/>
          <w:lang w:val="en-GB" w:eastAsia="en-GB" w:bidi="en-GB"/>
        </w:rPr>
        <w:t xml:space="preserve"> People Management: </w:t>
      </w:r>
      <w:r>
        <w:rPr>
          <w:rFonts w:ascii="Arial" w:hAnsi="Arial" w:eastAsia="Arial" w:cs="Arial"/>
          <w:color w:val="000000"/>
          <w:lang w:val="en-GB" w:eastAsia="en-GB" w:bidi="en-GB"/>
        </w:rPr>
        <w:t xml:space="preserve">Is able to inspire individuals to give their best to achieve a desired result and maintains effective relationships with individuals and the team as a whole, to ensure that the team is equipped to achieve objectives set according to the overall business need.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Hold Degree in Physiotherapy</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Registered with the Health Care Professionals Council (HCPC)</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Thorough knowledge of the Physiotherapy Framework, and a good understanding of moving and handling assessments and interventions.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Knowledge and application of assessment and interventions relevant to people with a range of medical conditions</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Have an understanding of relevant Social Care legislation</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Willingness to consent to and apply for an enhanced Disclosure and Barring Service (DBS) Check</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Current driving licence and access to a vehicle</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r>
        <w:rPr>
          <w:rFonts w:ascii="Arial" w:hAnsi="Arial" w:eastAsia="Arial" w:cs="Arial"/>
          <w:color w:val="000000"/>
          <w:lang w:val="en-GB" w:eastAsia="en-GB" w:bidi="en-GB"/>
        </w:rPr>
        <w:t xml:space="preserve">· Hold or willingness to work towards achieving accredited Manual Handing Train the Trainer</w:t>
      </w:r>
    </w:p>
    <w:p>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color w:val="000000"/>
          <w:lang w:val="en-GB" w:eastAsia="en-GB" w:bidi="en-GB"/>
        </w:rPr>
      </w:pPr>
    </w:p>
    <w:sectPr>
      <w:headerReference w:type="default" r:id="rId00013"/>
      <w:footerReference w:type="default" r:id="rId00014"/>
      <w:pgSz w:w="11906" w:h="16838"/>
      <w:pgMar w:top="1440" w:right="1133" w:bottom="1440" w:left="993" w:header="708" w:footer="1134"/>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Calibri">
    <w:panose1 w:val="020F0502020204030204"/>
    <w:charset w:val="00"/>
    <w:family w:val="swiss"/>
    <w:pitch w:val="variable"/>
    <w:sig w:usb0="E4002EFF" w:usb1="C000247B" w:usb2="00000009" w:usb3="00000000" w:csb0="200001FF" w:csb1="0000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hAnsi="Arial" w:eastAsia="Arial" w:cs="Arial"/>
        <w:color w:val="808080"/>
        <w:sz w:val="22"/>
        <w:szCs w:val="22"/>
        <w:lang w:val="en-GB" w:eastAsia="en-GB" w:bidi="en-GB"/>
      </w:rPr>
    </w:pPr>
    <w:r>
      <w:drawing>
        <wp:anchor distT="0" distB="0" distL="114300" distR="114300" simplePos="0" relativeHeight="251665408" behindDoc="1" locked="0" layoutInCell="1" hidden="0" allowOverlap="1">
          <wp:simplePos x="0" y="0"/>
          <wp:positionH relativeFrom="column">
            <wp:posOffset>5031105</wp:posOffset>
          </wp:positionH>
          <wp:positionV relativeFrom="paragraph">
            <wp:posOffset>0</wp:posOffset>
          </wp:positionV>
          <wp:extent cx="1727835" cy="1727835"/>
          <wp:wrapNone/>
          <wp:docPr id="3" name="Picture 11"/>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8"/>
                  <a:stretch>
                    <a:fillRect/>
                  </a:stretch>
                </pic:blipFill>
                <pic:spPr>
                  <a:xfrm>
                    <a:off x="0" y="0"/>
                    <a:ext cx="1727835" cy="1727835"/>
                  </a:xfrm>
                  <a:prstGeom prst="rect">
                    <a:avLst/>
                  </a:prstGeom>
                </pic:spPr>
              </pic:pic>
            </a:graphicData>
          </a:graphic>
        </wp:anchor>
      </w:drawing>
    </w:r>
    <w:r>
      <w:rPr>
        <w:rFonts w:ascii="Arial" w:hAnsi="Arial" w:eastAsia="Arial" w:cs="Arial"/>
        <w:color w:val="808080"/>
        <w:sz w:val="22"/>
        <w:szCs w:val="22"/>
        <w:lang w:val="en-GB" w:eastAsia="en-GB" w:bidi="en-GB"/>
      </w:rPr>
      <w:t xml:space="preserve">_______________________________________________________________________________</w:t>
    </w:r>
  </w:p>
  <w:p>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Calibri" w:hAnsi="Calibri" w:eastAsia="Calibri" w:cs="Calibri"/>
        <w:b/>
        <w:bCs/>
        <w:color w:val="808080"/>
        <w:sz w:val="20"/>
        <w:szCs w:val="20"/>
        <w:lang w:val="en-GB" w:eastAsia="en-GB" w:bidi="en-GB"/>
      </w:rPr>
    </w:pPr>
    <w:r>
      <w:drawing>
        <wp:anchor distT="0" distB="0" distL="114300" distR="114300" simplePos="0" relativeHeight="251662336" behindDoc="1" locked="0" layoutInCell="1" hidden="0" allowOverlap="1">
          <wp:simplePos x="0" y="0"/>
          <wp:positionH relativeFrom="column">
            <wp:posOffset>1335405</wp:posOffset>
          </wp:positionH>
          <wp:positionV relativeFrom="paragraph">
            <wp:posOffset>271780</wp:posOffset>
          </wp:positionV>
          <wp:extent cx="894715" cy="424815"/>
          <wp:wrapNone/>
          <wp:docPr id="4" name="Picture 1749629869"/>
          <a:graphic xmlns:a="http://schemas.openxmlformats.org/drawingml/2006/main">
            <a:graphicData uri="http://schemas.openxmlformats.org/drawingml/2006/picture">
              <pic:pic xmlns:pic="http://schemas.openxmlformats.org/drawingml/2006/picture">
                <pic:nvPicPr>
                  <pic:cNvPr id="0" name="Image 4"/>
                  <pic:cNvPicPr/>
                </pic:nvPicPr>
                <pic:blipFill>
                  <a:blip r:embed="rId00009"/>
                  <a:stretch>
                    <a:fillRect/>
                  </a:stretch>
                </pic:blipFill>
                <pic:spPr>
                  <a:xfrm>
                    <a:off x="0" y="0"/>
                    <a:ext cx="894715" cy="424815"/>
                  </a:xfrm>
                  <a:prstGeom prst="rect">
                    <a:avLst/>
                  </a:prstGeom>
                </pic:spPr>
              </pic:pic>
            </a:graphicData>
          </a:graphic>
        </wp:anchor>
      </w:drawing>
    </w:r>
    <w:r>
      <w:drawing>
        <wp:anchor distT="0" distB="0" distL="114300" distR="114300" simplePos="0" relativeHeight="251664384" behindDoc="1" locked="0" layoutInCell="1" hidden="0" allowOverlap="1">
          <wp:simplePos x="0" y="0"/>
          <wp:positionH relativeFrom="column">
            <wp:posOffset>4077970</wp:posOffset>
          </wp:positionH>
          <wp:positionV relativeFrom="paragraph">
            <wp:posOffset>250825</wp:posOffset>
          </wp:positionV>
          <wp:extent cx="1057910" cy="471805"/>
          <wp:wrapNone/>
          <wp:docPr id="5" name="Picture 8"/>
          <a:graphic xmlns:a="http://schemas.openxmlformats.org/drawingml/2006/main">
            <a:graphicData uri="http://schemas.openxmlformats.org/drawingml/2006/picture">
              <pic:pic xmlns:pic="http://schemas.openxmlformats.org/drawingml/2006/picture">
                <pic:nvPicPr>
                  <pic:cNvPr id="0" name="Image 5"/>
                  <pic:cNvPicPr/>
                </pic:nvPicPr>
                <pic:blipFill>
                  <a:blip r:embed="rId00010"/>
                  <a:stretch>
                    <a:fillRect/>
                  </a:stretch>
                </pic:blipFill>
                <pic:spPr>
                  <a:xfrm>
                    <a:off x="0" y="0"/>
                    <a:ext cx="1057910" cy="471805"/>
                  </a:xfrm>
                  <a:prstGeom prst="rect">
                    <a:avLst/>
                  </a:prstGeom>
                </pic:spPr>
              </pic:pic>
            </a:graphicData>
          </a:graphic>
        </wp:anchor>
      </w:drawing>
    </w:r>
    <w:r>
      <w:drawing>
        <wp:anchor distT="0" distB="0" distL="114300" distR="114300" simplePos="0" relativeHeight="251661312" behindDoc="0" locked="0" layoutInCell="1" hidden="0" allowOverlap="1">
          <wp:simplePos x="0" y="0"/>
          <wp:positionH relativeFrom="column">
            <wp:posOffset>-635</wp:posOffset>
          </wp:positionH>
          <wp:positionV relativeFrom="paragraph">
            <wp:posOffset>273685</wp:posOffset>
          </wp:positionV>
          <wp:extent cx="1028700" cy="315595"/>
          <wp:wrapSquare wrapText="bothSides"/>
          <wp:docPr id="6" name="Picture 1462123973"/>
          <a:graphic xmlns:a="http://schemas.openxmlformats.org/drawingml/2006/main">
            <a:graphicData uri="http://schemas.openxmlformats.org/drawingml/2006/picture">
              <pic:pic xmlns:pic="http://schemas.openxmlformats.org/drawingml/2006/picture">
                <pic:nvPicPr>
                  <pic:cNvPr id="0" name="Image 6"/>
                  <pic:cNvPicPr/>
                </pic:nvPicPr>
                <pic:blipFill>
                  <a:blip r:embed="rId00011"/>
                  <a:stretch>
                    <a:fillRect/>
                  </a:stretch>
                </pic:blipFill>
                <pic:spPr>
                  <a:xfrm>
                    <a:off x="0" y="0"/>
                    <a:ext cx="1028700" cy="315595"/>
                  </a:xfrm>
                  <a:prstGeom prst="rect">
                    <a:avLst/>
                  </a:prstGeom>
                </pic:spPr>
              </pic:pic>
            </a:graphicData>
          </a:graphic>
        </wp:anchor>
      </w:drawing>
    </w:r>
    <w:r>
      <w:drawing>
        <wp:anchor distT="0" distB="0" distL="114300" distR="114300" simplePos="0" relativeHeight="251663360" behindDoc="1" locked="0" layoutInCell="1" hidden="0" allowOverlap="1">
          <wp:simplePos x="0" y="0"/>
          <wp:positionH relativeFrom="column">
            <wp:posOffset>2440305</wp:posOffset>
          </wp:positionH>
          <wp:positionV relativeFrom="paragraph">
            <wp:posOffset>331470</wp:posOffset>
          </wp:positionV>
          <wp:extent cx="1412240" cy="354330"/>
          <wp:wrapNone/>
          <wp:docPr id="7" name="Picture 7"/>
          <a:graphic xmlns:a="http://schemas.openxmlformats.org/drawingml/2006/main">
            <a:graphicData uri="http://schemas.openxmlformats.org/drawingml/2006/picture">
              <pic:pic xmlns:pic="http://schemas.openxmlformats.org/drawingml/2006/picture">
                <pic:nvPicPr>
                  <pic:cNvPr id="0" name="Image 7"/>
                  <pic:cNvPicPr/>
                </pic:nvPicPr>
                <pic:blipFill>
                  <a:blip r:embed="rId00012"/>
                  <a:stretch>
                    <a:fillRect/>
                  </a:stretch>
                </pic:blipFill>
                <pic:spPr>
                  <a:xfrm>
                    <a:off x="0" y="0"/>
                    <a:ext cx="1412240" cy="354330"/>
                  </a:xfrm>
                  <a:prstGeom prst="rect">
                    <a:avLst/>
                  </a:prstGeom>
                </pic:spPr>
              </pic:pic>
            </a:graphicData>
          </a:graphic>
        </wp:anchor>
      </w:drawing>
    </w:r>
    <w:r>
      <w:rPr>
        <w:rFonts w:ascii="Calibri" w:hAnsi="Calibri" w:eastAsia="Calibri" w:cs="Calibri"/>
        <w:b/>
        <w:bCs/>
        <w:color w:val="808080"/>
        <w:sz w:val="20"/>
        <w:szCs w:val="20"/>
        <w:lang w:val="en-GB" w:eastAsia="en-GB" w:bidi="en-GB"/>
      </w:rPr>
      <w:t xml:space="preserve">Powered By:</w:t>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r>
      <w:drawing>
        <wp:anchor distT="0" distB="0" distL="114300" distR="114300" simplePos="0" relativeHeight="251660288" behindDoc="0" locked="0" layoutInCell="1" hidden="0" allowOverlap="1">
          <wp:simplePos x="0" y="0"/>
          <wp:positionH relativeFrom="column">
            <wp:posOffset>4657090</wp:posOffset>
          </wp:positionH>
          <wp:positionV relativeFrom="paragraph">
            <wp:posOffset>0</wp:posOffset>
          </wp:positionV>
          <wp:extent cx="2046605" cy="409575"/>
          <wp:wrapNone/>
          <wp:docPr id="1" name="Picture 1070858937"/>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204660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-467995</wp:posOffset>
          </wp:positionH>
          <wp:positionV relativeFrom="paragraph">
            <wp:posOffset>0</wp:posOffset>
          </wp:positionV>
          <wp:extent cx="2142490" cy="778510"/>
          <wp:wrapSquare wrapText="bothSides"/>
          <wp:docPr id="2" name="Picture 447453800"/>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7"/>
                  <a:stretch>
                    <a:fillRect/>
                  </a:stretch>
                </pic:blipFill>
                <pic:spPr>
                  <a:xfrm>
                    <a:off x="0" y="0"/>
                    <a:ext cx="2142490" cy="778510"/>
                  </a:xfrm>
                  <a:prstGeom prst="rect">
                    <a:avLst/>
                  </a:prstGeom>
                </pic:spPr>
              </pic:pic>
            </a:graphicData>
          </a:graphic>
        </wp:anchor>
      </w:drawing>
    </w:r>
  </w:p>
  <w:p>
    <w:pPr>
      <w:pStyle w:val="Normal"/>
      <w:tabs>
        <w:tab w:val="center" w:pos="4513"/>
        <w:tab w:val="right" w:pos="902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right"/>
      <w:rPr>
        <w:color w:val="000000"/>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000000"/>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num w:numId="1">
    <w:abstractNumId w:val="0"/>
  </w:num>
  <w:num w:numId="2">
    <w:abstractNumId w:val="1"/>
  </w:num>
  <w:num w:numId="3">
    <w:abstractNumId w:val="2"/>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Footer">
    <w:name w:val="footer"/>
    <w:basedOn w:val="Normal"/>
    <w:next w:val="Footer"/>
    <w:qFormat/>
    <w:pPr>
      <w:tabs>
        <w:tab w:val="center" w:pos="4513"/>
        <w:tab w:val="right" w:pos="9026"/>
      </w:tabs>
    </w:pPr>
    <w:rPr>
      <w:lang w:val="en-GB" w:eastAsia="en-GB" w:bidi="en-GB"/>
    </w:rPr>
  </w:style>
  <w:style w:type="paragraph" w:styleId="NormalWeb">
    <w:name w:val="Normal (Web)"/>
    <w:basedOn w:val="Normal"/>
    <w:next w:val="NormalWeb"/>
    <w:qFormat/>
    <w:pPr/>
    <w:rPr>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keepLines/>
      <w:spacing w:before="280" w:after="80"/>
      <w:outlineLvl w:val="2"/>
    </w:pPr>
    <w:rPr>
      <w:b/>
      <w:bCs/>
      <w:sz w:val="28"/>
      <w:szCs w:val="28"/>
      <w:lang w:val="en-GB" w:eastAsia="en-GB" w:bidi="en-GB"/>
    </w:rPr>
  </w:style>
  <w:style w:type="paragraph" w:styleId="Heading4">
    <w:name w:val="heading 4"/>
    <w:basedOn w:val="Normal"/>
    <w:next w:val="Normal"/>
    <w:qFormat/>
    <w:pPr>
      <w:keepNext/>
      <w:keepLines/>
      <w:spacing w:before="240" w:after="40"/>
      <w:outlineLvl w:val="3"/>
    </w:pPr>
    <w:rPr>
      <w:b/>
      <w:bCs/>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character" w:styleId="Footer Char">
    <w:name w:val="Footer Char"/>
    <w:qFormat/>
    <w:rPr>
      <w:rtl w:val="off"/>
    </w:rPr>
  </w:style>
  <w:style w:type="paragraph" w:styleId="ListParagraph">
    <w:name w:val="List Paragraph"/>
    <w:basedOn w:val="Normal"/>
    <w:next w:val="ListParagraph"/>
    <w:qFormat/>
    <w:pPr>
      <w:ind w:left="720"/>
    </w:pPr>
    <w:rPr>
      <w:lang w:val="en-GB" w:eastAsia="en-GB" w:bidi="en-GB"/>
    </w:rPr>
  </w:style>
  <w:style w:type="character" w:styleId="LineNumber">
    <w:name w:val="line number"/>
    <w:qFormat/>
    <w:rPr>
      <w:rtl w:val="off"/>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13" Type="http://schemas.openxmlformats.org/officeDocument/2006/relationships/header" Target="header0001.xml"/>
	<Relationship Id="rId00014" Type="http://schemas.openxmlformats.org/officeDocument/2006/relationships/footer" Target="footer0001.xml"/>
	<Relationship Id="rId00015" Type="http://schemas.openxmlformats.org/officeDocument/2006/relationships/numbering" Target="numbering.xml"/>
	<Relationship Id="rId00016" Type="http://schemas.openxmlformats.org/officeDocument/2006/relationships/fontTable" Target="fontTable.xml"/>
	<Relationship Id="rId00017" Type="http://schemas.openxmlformats.org/officeDocument/2006/relationships/settings" Target="settings.xml"/>
</Relationships>
</file>

<file path=word/_rels/footer0001.xml.rels><?xml version="1.0" encoding="UTF-8" standalone="yes"?><Relationships xmlns="http://schemas.openxmlformats.org/package/2006/relationships">
	<Relationship Id="rId00008" Type="http://schemas.openxmlformats.org/officeDocument/2006/relationships/image" Target="media/image0003.png"/>
	<Relationship Id="rId00009" Type="http://schemas.openxmlformats.org/officeDocument/2006/relationships/image" Target="media/image0004.png"/>
	<Relationship Id="rId00010" Type="http://schemas.openxmlformats.org/officeDocument/2006/relationships/image" Target="media/image0005.png"/>
	<Relationship Id="rId00011" Type="http://schemas.openxmlformats.org/officeDocument/2006/relationships/image" Target="media/image0006.png"/>
	<Relationship Id="rId00012" Type="http://schemas.openxmlformats.org/officeDocument/2006/relationships/image" Target="media/image0007.png"/>
</Relationships>
</file>

<file path=word/_rels/header0001.xml.rels><?xml version="1.0" encoding="UTF-8" standalone="yes"?><Relationships xmlns="http://schemas.openxmlformats.org/package/2006/relationships">
	<Relationship Id="rId00006" Type="http://schemas.openxmlformats.org/officeDocument/2006/relationships/image" Target="media/image0001.png"/>
	<Relationship Id="rId00007"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Mahin Mahmood</dc:creator>
  <dcterms:created xsi:type="dcterms:W3CDTF">2025-03-06T14:48:00Z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0x010100C9CD8FE9CFA0654CB9D0F7CA26F9EC61</vt:lpwstr>
  </property>
</Properties>
</file>