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GB" w:eastAsia="en-GB" w:bidi="en-GB"/>
        </w:rPr>
      </w:pPr>
      <w:r>
        <w:rPr>
          <w:rFonts w:ascii="Arial" w:hAnsi="Arial" w:eastAsia="Arial" w:cs="Arial"/>
          <w:b/>
          <w:bCs/>
          <w:color w:val="000000"/>
          <w:lang w:val="en-GB" w:eastAsia="en-GB" w:bidi="en-GB"/>
        </w:rPr>
        <w:t xml:space="preserve">Manchester Local Care Organisation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color w:val="000000"/>
          <w:lang w:val="en-GB" w:eastAsia="en-GB" w:bidi="en-GB"/>
        </w:rPr>
      </w:pPr>
      <w:r>
        <w:rPr>
          <w:rFonts w:ascii="Arial" w:hAnsi="Arial" w:eastAsia="Arial" w:cs="Arial"/>
          <w:b/>
          <w:bCs/>
          <w:color w:val="000000"/>
          <w:lang w:val="en-GB" w:eastAsia="en-GB" w:bidi="en-GB"/>
        </w:rPr>
        <w:t xml:space="preserve">Role Profile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color w:val="000000"/>
          <w:lang w:val="en-GB" w:eastAsia="en-GB" w:bidi="en-GB"/>
        </w:rPr>
      </w:pPr>
    </w:p>
    <w:bookmarkStart w:id="1" w:name="_gjdgxs"/>
    <w:bookmarkEnd w:id="1"/>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color w:val="000000"/>
          <w:lang w:val="en-GB" w:eastAsia="en-GB" w:bidi="en-GB"/>
        </w:rPr>
      </w:pPr>
      <w:r>
        <w:rPr>
          <w:rFonts w:ascii="Arial" w:hAnsi="Arial" w:eastAsia="Arial" w:cs="Arial"/>
          <w:b/>
          <w:bCs/>
          <w:color w:val="000000"/>
          <w:lang w:val="en-GB" w:eastAsia="en-GB" w:bidi="en-GB"/>
        </w:rPr>
        <w:t xml:space="preserve">Occupational Therapist – Autism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color w:val="000000"/>
          <w:lang w:val="en-GB" w:eastAsia="en-GB" w:bidi="en-GB"/>
        </w:rPr>
      </w:pPr>
      <w:r>
        <w:rPr>
          <w:rFonts w:ascii="Arial" w:hAnsi="Arial" w:eastAsia="Arial" w:cs="Arial"/>
          <w:b/>
          <w:bCs/>
          <w:color w:val="000000"/>
          <w:lang w:val="en-GB" w:eastAsia="en-GB" w:bidi="en-GB"/>
        </w:rPr>
        <w:t xml:space="preserve">Level 2, Grade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color w:val="000000"/>
          <w:lang w:val="en-GB" w:eastAsia="en-GB" w:bidi="en-GB"/>
        </w:rPr>
      </w:pPr>
      <w:r>
        <w:rPr>
          <w:rFonts w:ascii="Arial" w:hAnsi="Arial" w:eastAsia="Arial" w:cs="Arial"/>
          <w:b/>
          <w:bCs/>
          <w:color w:val="000000"/>
          <w:lang w:val="en-GB" w:eastAsia="en-GB" w:bidi="en-GB"/>
        </w:rPr>
        <w:t xml:space="preserve">Reports to: Autism and Personalisation Lead – Complex Needs Team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Job Family: People Care and Support Direct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000000"/>
          <w:lang w:val="en-GB" w:eastAsia="en-GB" w:bidi="en-GB"/>
        </w:rPr>
      </w:pPr>
      <w:r>
        <w:rPr>
          <w:rFonts w:ascii="Arial" w:hAnsi="Arial" w:eastAsia="Arial" w:cs="Arial"/>
          <w:b/>
          <w:bCs/>
          <w:color w:val="000000"/>
          <w:lang w:val="en-GB" w:eastAsia="en-GB" w:bidi="en-GB"/>
        </w:rPr>
        <w:t xml:space="preserve">Manchester Local Care Organisation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lang w:val="en-GB" w:eastAsia="en-GB" w:bidi="en-GB"/>
        </w:rPr>
      </w:pPr>
      <w:r>
        <w:rPr>
          <w:rFonts w:ascii="Arial" w:hAnsi="Arial" w:eastAsia="Arial" w:cs="Arial"/>
          <w:color w:val="000000"/>
          <w:lang w:val="en-GB" w:eastAsia="en-GB" w:bidi="en-GB"/>
        </w:rPr>
        <w:t xml:space="preserve">Manchester Local Care Organisation (MLCO) has been established by the partner (Manchester City Council, Manchester University NHS Foundation Trust, Greater Manchester Mental Health Service NHS Trust and Manchester Primary Care Partnership) to integrate, plan and manage community health and social care across the City.  By working better together, we are bringing community health and social care services together in our 12 neighbourhoods to form integrated Neighbourhoods Teams (INTs). Our INTs will drive our collaborative approach, developing partnerships and building on existing community assets to facilitate improved delivery specific to each neighbourhood. We will be able to provide improved care closer to home and to support the people of Manchester to live healthier, more independent and fulfilling lives and be part of a thriving and supportive community. Your role is deployed into MLCO by your employer: Manchester City Council.</w:t>
      </w:r>
      <w:r>
        <w:rPr>
          <w:color w:val="000000"/>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u w:val="single"/>
          <w:lang w:val="en-GB" w:eastAsia="en-GB" w:bidi="en-GB"/>
        </w:rPr>
      </w:pPr>
      <w:r>
        <w:rPr>
          <w:rFonts w:ascii="Arial" w:hAnsi="Arial" w:eastAsia="Arial" w:cs="Arial"/>
          <w:b/>
          <w:bCs/>
          <w:u w:val="single"/>
          <w:lang w:val="en-GB" w:eastAsia="en-GB" w:bidi="en-GB"/>
        </w:rPr>
        <w:t xml:space="preserve">Key Role Descriptors: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u w:val="single"/>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r>
        <w:rPr>
          <w:rFonts w:ascii="Arial" w:hAnsi="Arial" w:eastAsia="Arial" w:cs="Arial"/>
          <w:color w:val="000000"/>
          <w:lang w:val="en-GB" w:eastAsia="en-GB" w:bidi="en-GB"/>
        </w:rPr>
        <w:t xml:space="preserve">The role holder will work to provide direct support for individuals and families in accordance with statutory responsibilities and local and national policies and procedures, effectively identifying cases and/or managing a caseload in order to secure positive outcomes for Manchester residents. </w:t>
      </w:r>
      <w:r>
        <w:rPr>
          <w:rFonts w:ascii="Arial" w:hAnsi="Arial" w:eastAsia="Arial" w:cs="Arial"/>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color w:val="000000"/>
          <w:lang w:val="en-GB" w:eastAsia="en-GB" w:bidi="en-GB"/>
        </w:rPr>
        <w:t xml:space="preserve">The role holder will lead the effective development of partnership approaches in order to safeguard individuals through the effective management of safeguarding risk and the recording and sharing of information. </w:t>
      </w:r>
      <w:r>
        <w:rPr>
          <w:rFonts w:ascii="Arial" w:hAnsi="Arial" w:eastAsia="Arial" w:cs="Arial"/>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color w:val="000000"/>
          <w:lang w:val="en-GB" w:eastAsia="en-GB" w:bidi="en-GB"/>
        </w:rPr>
        <w:t xml:space="preserve">The role holder will ensure that through effective advice, planning and support and the utilisation of ‘joined up’ approaches, individuals are able to access services appropriate for their identified needs. </w:t>
      </w:r>
      <w:r>
        <w:rPr>
          <w:rFonts w:ascii="Arial" w:hAnsi="Arial" w:eastAsia="Arial" w:cs="Arial"/>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color w:val="000000"/>
          <w:lang w:val="en-GB" w:eastAsia="en-GB" w:bidi="en-GB"/>
        </w:rPr>
        <w:t xml:space="preserve">The role holder will support the leadership of the team and service through the provision of advice</w:t>
      </w:r>
      <w:r>
        <w:rPr>
          <w:rFonts w:ascii="Arial" w:hAnsi="Arial" w:eastAsia="Arial" w:cs="Arial"/>
          <w:lang w:val="en-GB" w:eastAsia="en-GB" w:bidi="en-GB"/>
        </w:rPr>
        <w:t xml:space="preserve">, mentoring and supervision to colleagues, contributing to the ongoing development of staff, students, apprentices and trainees.</w:t>
      </w:r>
      <w:r>
        <w:rPr>
          <w:rFonts w:ascii="Arial" w:hAnsi="Arial" w:eastAsia="Arial" w:cs="Arial"/>
          <w:color w:val="000000"/>
          <w:lang w:val="en-GB" w:eastAsia="en-GB" w:bidi="en-GB"/>
        </w:rPr>
        <w:t xml:space="preserve"> </w:t>
      </w:r>
      <w:r>
        <w:rPr>
          <w:rFonts w:ascii="Arial" w:hAnsi="Arial" w:eastAsia="Arial" w:cs="Arial"/>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u w:val="single"/>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u w:val="single"/>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u w:val="single"/>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u w:val="single"/>
          <w:lang w:val="en-GB" w:eastAsia="en-GB" w:bidi="en-GB"/>
        </w:rPr>
      </w:pPr>
      <w:r>
        <w:rPr>
          <w:rFonts w:ascii="Arial" w:hAnsi="Arial" w:eastAsia="Arial" w:cs="Arial"/>
          <w:b/>
          <w:bCs/>
          <w:u w:val="single"/>
          <w:lang w:val="en-GB" w:eastAsia="en-GB" w:bidi="en-GB"/>
        </w:rPr>
        <w:t xml:space="preserve">Key Role Accountabilities: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FF0000"/>
          <w:lang w:val="en-GB" w:eastAsia="en-GB" w:bidi="en-GB"/>
        </w:rPr>
      </w:pPr>
      <w:r>
        <w:rPr>
          <w:rFonts w:ascii="Arial" w:hAnsi="Arial" w:eastAsia="Arial" w:cs="Arial"/>
          <w:color w:val="000000"/>
          <w:lang w:val="en-GB" w:eastAsia="en-GB" w:bidi="en-GB"/>
        </w:rPr>
        <w:t xml:space="preserve">Effectively manage and be accountable for a caseload of high level and often complex cases through advice, guidance and supervision to improve outcomes for individuals and associated parties while ensuring adherence to statutory duties.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Undertake a key role in cooperation with partners and stakeholders to ensure safeguarding processes and procedures are in place to protect individuals. Identify, challenge and develop solutions to any possible safeguarding risks for vulnerable residents of the city.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Work in conjunction with and provide consultation to partner agencies to deliver effective planning to ensure positive outcomes for vulnerable residents of Manchester. This will include representing the City Council at a range of meetings, proceedings and reviews as required.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Engage with stakeholders in the private and public sectors and across local communities to encourage a collaborative and transparent approach that promotes residents' needs across a range of existing and new initiatives.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FF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Actively engage in team and service development including the promotion of innovative and new ideas and techniques to improve service performance and outcomes.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Efficiently prepare and produce high quality documentation and reports and contribute to effective data recording in accordance with statutory accountabilities and timescales to improve outcomes and the safeguarding of individuals.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Proactively establish, develop and maintain relationships with partner agencies and stakeholders to provide individuals with the opportunity to access suitable services which will assist them in achieving their agreed goals.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Roles at this level may be required to manage a range of assigned resources, which may be human, financial or other, to ensure continuous improvement in service delivery. Staff management duties may be either through direct line management of a team (including appraisals, performance management and other duties) or through matrix management of a virtual team of officers.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Personal commitment to continuous self-development and service improvement.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Through personal example, open commitment and clear action, ensure diversity is positively valued, resulting in equal access and treatment in employment, service delivery and communications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b/>
          <w:bCs/>
          <w:color w:val="000000"/>
          <w:lang w:val="en-GB" w:eastAsia="en-GB" w:bidi="en-GB"/>
        </w:rPr>
        <w:t xml:space="preserve">Where the role holder has a disability, every effort will be made to supply all necessary aids, adaptations or equipment to allow them to carry out all duties of the job. If, however, a certain task proves to be unachievable, job redesign will be given full consideration.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000000"/>
          <w:u w:val="single"/>
          <w:lang w:val="en-GB" w:eastAsia="en-GB" w:bidi="en-GB"/>
        </w:rPr>
      </w:pPr>
      <w:r>
        <w:rPr>
          <w:rFonts w:ascii="Arial" w:hAnsi="Arial" w:eastAsia="Arial" w:cs="Arial"/>
          <w:b/>
          <w:bCs/>
          <w:color w:val="000000"/>
          <w:u w:val="single"/>
          <w:lang w:val="en-GB" w:eastAsia="en-GB" w:bidi="en-GB"/>
        </w:rPr>
        <w:t xml:space="preserve">Role portfolio: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000000"/>
          <w:u w:val="single"/>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An exciting opportunity has arisen within adult social care to shape, develop and deliver a new Occupational Therapy role within the Autism team. The role holder will work with autistic individuals to assess their strengths and needs; maximising their independence and wellbeing, and ensuring the person has choice and control over their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Working collaboratively with the Autism Lead, autism workers, and multi-disciplinary teams, you will build strong relationships, and champion inclusive practice for autistic adults.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As the Occupational Therapist within the team, you will:</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lang w:val="en-GB" w:eastAsia="en-GB" w:bidi="en-GB"/>
        </w:rPr>
      </w:pPr>
      <w:r>
        <w:rPr>
          <w:rFonts w:ascii="Arial" w:hAnsi="Arial" w:eastAsia="Arial" w:cs="Arial"/>
          <w:lang w:val="en-GB" w:eastAsia="en-GB" w:bidi="en-GB"/>
        </w:rPr>
        <w:t xml:space="preserve">Provide Occupational Therapy advice and input for autistic individuals across adult social care, focusing on areas such as sensory processing, executive functioning, and daily living skills.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lang w:val="en-GB" w:eastAsia="en-GB" w:bidi="en-GB"/>
        </w:rPr>
      </w:pPr>
      <w:r>
        <w:rPr>
          <w:rFonts w:ascii="Arial" w:hAnsi="Arial" w:eastAsia="Arial" w:cs="Arial"/>
          <w:lang w:val="en-GB" w:eastAsia="en-GB" w:bidi="en-GB"/>
        </w:rPr>
        <w:t xml:space="preserve">Undertake functional assessments in relation to occupational performance, mental health and sensory processing needs; recommending and implementing environmental adaptations, assistive technology, and strategies to reduce sensory overload and promote engagement in meaningful activities.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ind w:hanging="360"/>
        <w:jc w:val="both"/>
        <w:rPr>
          <w:rFonts w:ascii="Arial" w:hAnsi="Arial" w:eastAsia="Arial" w:cs="Arial"/>
          <w:lang w:val="en-GB" w:eastAsia="en-GB" w:bidi="en-GB"/>
        </w:rPr>
      </w:pPr>
      <w:r>
        <w:rPr>
          <w:rFonts w:ascii="Arial" w:hAnsi="Arial" w:eastAsia="Arial" w:cs="Arial"/>
          <w:lang w:val="en-GB" w:eastAsia="en-GB" w:bidi="en-GB"/>
        </w:rPr>
        <w:t xml:space="preserve">Contribute to goal setting, undertake risk assessments, and develop personalised intervention plans that reflect strengths-based and rights-based approaches.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ind w:hanging="360"/>
        <w:jc w:val="both"/>
        <w:rPr>
          <w:rFonts w:ascii="Arial" w:hAnsi="Arial" w:eastAsia="Arial" w:cs="Arial"/>
          <w:lang w:val="en-GB" w:eastAsia="en-GB" w:bidi="en-GB"/>
        </w:rPr>
      </w:pPr>
      <w:r>
        <w:rPr>
          <w:rFonts w:ascii="Arial" w:hAnsi="Arial" w:eastAsia="Arial" w:cs="Arial"/>
          <w:lang w:val="en-GB" w:eastAsia="en-GB" w:bidi="en-GB"/>
        </w:rPr>
        <w:t xml:space="preserve">Plan, co-ordinate and deliver relevant training to citizens, colleagues, and other identified stakeholders including autism-informed occupational therapy strategies</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ind w:hanging="360"/>
        <w:jc w:val="both"/>
        <w:rPr>
          <w:rFonts w:ascii="Arial" w:hAnsi="Arial" w:eastAsia="Arial" w:cs="Arial"/>
          <w:lang w:val="en-GB" w:eastAsia="en-GB" w:bidi="en-GB"/>
        </w:rPr>
      </w:pPr>
      <w:r>
        <w:rPr>
          <w:rFonts w:ascii="Arial" w:hAnsi="Arial" w:eastAsia="Arial" w:cs="Arial"/>
          <w:color w:val="000000"/>
          <w:lang w:val="en-GB" w:eastAsia="en-GB" w:bidi="en-GB"/>
        </w:rPr>
        <w:t xml:space="preserve">Design and deliver group workshops focused on life skills, daily routines, sensory regulation, social participation, and building independence.</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ind w:hanging="360"/>
        <w:jc w:val="both"/>
        <w:rPr>
          <w:rFonts w:ascii="Arial" w:hAnsi="Arial" w:eastAsia="Arial" w:cs="Arial"/>
          <w:lang w:val="en-GB" w:eastAsia="en-GB" w:bidi="en-GB"/>
        </w:rPr>
      </w:pPr>
      <w:r>
        <w:rPr>
          <w:rFonts w:ascii="Arial" w:hAnsi="Arial" w:eastAsia="Arial" w:cs="Arial"/>
          <w:lang w:val="en-GB" w:eastAsia="en-GB" w:bidi="en-GB"/>
        </w:rPr>
        <w:t xml:space="preserve">Empower and educate citizens, including signposting to appropriate services, to promote social inclusion, health promotion and relapse prevention. </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ind w:hanging="360"/>
        <w:jc w:val="both"/>
        <w:rPr>
          <w:rFonts w:ascii="Arial" w:hAnsi="Arial" w:eastAsia="Arial" w:cs="Arial"/>
          <w:lang w:val="en-GB" w:eastAsia="en-GB" w:bidi="en-GB"/>
        </w:rPr>
      </w:pPr>
      <w:r>
        <w:rPr>
          <w:rFonts w:ascii="Arial" w:hAnsi="Arial" w:eastAsia="Arial" w:cs="Arial"/>
          <w:lang w:val="en-GB" w:eastAsia="en-GB" w:bidi="en-GB"/>
        </w:rPr>
        <w:t xml:space="preserve">Support Care Act assessments and planning, ensuring reasonable adjustments are considered under the Equality Act and Autism Act.</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ind w:hanging="360"/>
        <w:jc w:val="both"/>
        <w:rPr>
          <w:rFonts w:ascii="Arial" w:hAnsi="Arial" w:eastAsia="Arial" w:cs="Arial"/>
          <w:lang w:val="en-GB" w:eastAsia="en-GB" w:bidi="en-GB"/>
        </w:rPr>
      </w:pPr>
      <w:r>
        <w:rPr>
          <w:rFonts w:ascii="Arial" w:hAnsi="Arial" w:eastAsia="Arial" w:cs="Arial"/>
          <w:lang w:val="en-GB" w:eastAsia="en-GB" w:bidi="en-GB"/>
        </w:rPr>
        <w:t xml:space="preserve">Participate in autism clinics/surgeries, and contribute to service development projects.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ind w:hanging="360"/>
        <w:jc w:val="both"/>
        <w:rPr>
          <w:rFonts w:ascii="Arial" w:hAnsi="Arial" w:eastAsia="Arial" w:cs="Arial"/>
          <w:lang w:val="en-GB" w:eastAsia="en-GB" w:bidi="en-GB"/>
        </w:rPr>
      </w:pPr>
      <w:r>
        <w:rPr>
          <w:rFonts w:ascii="Arial" w:hAnsi="Arial" w:eastAsia="Arial" w:cs="Arial"/>
          <w:lang w:val="en-GB" w:eastAsia="en-GB" w:bidi="en-GB"/>
        </w:rPr>
        <w:t xml:space="preserve">Support transitions such as autistic individuals moving into independent living</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You will be responsible for organising and prioritising your own workload, whilst being able to work flexibly to meet the needs of citizens, relatives, carers and the service.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An excellent awareness of safeguarding in line with Manchester policy, including making referrals and participation in safeguarding investigations will be vital.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Experience of managing staff is desirable, to support the supervision of OT students, OT apprentices and junior Occupational Therapists as the team grows.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Whilst line managed by the Autism Lead, you will be linked into the Principal Occupational Therapist, and the Occupational Therapy teams across adult social care, with access to clinical supervision from an appropriate Occupational Therapist.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FF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u w:val="single"/>
          <w:lang w:val="en-GB" w:eastAsia="en-GB" w:bidi="en-GB"/>
        </w:rPr>
      </w:pPr>
      <w:r>
        <w:rPr>
          <w:rFonts w:ascii="Arial" w:hAnsi="Arial" w:eastAsia="Arial" w:cs="Arial"/>
          <w:b/>
          <w:bCs/>
          <w:u w:val="single"/>
          <w:lang w:val="en-GB" w:eastAsia="en-GB" w:bidi="en-GB"/>
        </w:rPr>
        <w:t xml:space="preserve">Key Competencies and Technical Requirements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u w:val="single"/>
          <w:lang w:val="en-GB" w:eastAsia="en-GB" w:bidi="en-GB"/>
        </w:rPr>
      </w:pPr>
    </w:p>
    <w:p>
      <w:pPr>
        <w:pStyle w:val="Normal"/>
        <w:pBdr>
          <w:top w:val="single" w:sz="4" w:space="1" w:color="auto"/>
          <w:left w:val="single" w:sz="4" w:space="1" w:color="auto"/>
          <w:bottom w:val="single" w:sz="4" w:space="1" w:color="auto"/>
          <w:right w:val="single" w:sz="4" w:space="1" w:color="auto"/>
        </w:pBdr>
        <w:shd w:val="clear" w:color="auto" w:fill="00B0F0"/>
        <w:tabs>
          <w:tab w:val="left" w:pos="55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Arial" w:hAnsi="Arial" w:eastAsia="Arial" w:cs="Arial"/>
          <w:b/>
          <w:bCs/>
          <w:color w:val="FF0000"/>
          <w:lang w:val="en-GB" w:eastAsia="en-GB" w:bidi="en-GB"/>
        </w:rPr>
      </w:pPr>
      <w:r>
        <w:rPr>
          <w:rFonts w:ascii="Arial" w:hAnsi="Arial" w:eastAsia="Arial" w:cs="Arial"/>
          <w:b/>
          <w:bCs/>
          <w:lang w:val="en-GB" w:eastAsia="en-GB" w:bidi="en-GB"/>
        </w:rPr>
        <w:t xml:space="preserve">Our Manchester Behaviours</w:t>
      </w:r>
      <w:r>
        <w:rPr>
          <w:rFonts w:ascii="Arial" w:hAnsi="Arial" w:eastAsia="Arial" w:cs="Arial"/>
          <w:lang w:val="en-GB" w:eastAsia="en-GB" w:bidi="en-GB"/>
        </w:rPr>
        <w:t xml:space="preserve"> </w:t>
      </w:r>
      <w:r>
        <w:rPr>
          <w:rFonts w:ascii="Arial" w:hAnsi="Arial" w:eastAsia="Arial" w:cs="Arial"/>
          <w:color w:val="000000"/>
          <w:lang w:val="en-GB" w:eastAsia="en-GB" w:bidi="en-GB"/>
        </w:rPr>
        <w:t xml:space="preserve"> </w:t>
      </w:r>
      <w:r>
        <w:rPr>
          <w:rFonts w:ascii="Arial" w:hAnsi="Arial" w:eastAsia="Arial" w:cs="Arial"/>
          <w:lang w:val="en-GB" w:eastAsia="en-GB" w:bidi="en-GB"/>
        </w:rPr>
        <w:t xml:space="preserve">	</w:t>
      </w:r>
    </w:p>
    <w:p>
      <w:pPr>
        <w:pStyle w:val="ListParagraph"/>
        <w:numPr>
          <w:ilvl w:val="0"/>
          <w:numId w:val="3"/>
        </w:numPr>
        <w:shd w:val="clear" w:color="auto" w:fill="FFFFFF"/>
        <w:tabs>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94" w:hanging="294"/>
        <w:jc w:val="both"/>
        <w:rPr>
          <w:rFonts w:ascii="Arial" w:hAnsi="Arial" w:eastAsia="Arial" w:cs="Arial"/>
          <w:color w:val="222222"/>
          <w:lang w:val="en-GB" w:eastAsia="en-GB" w:bidi="en-GB"/>
        </w:rPr>
      </w:pPr>
      <w:r>
        <w:rPr>
          <w:rFonts w:ascii="Arial" w:hAnsi="Arial" w:eastAsia="Arial" w:cs="Arial"/>
          <w:color w:val="222222"/>
          <w:lang w:val="en-GB" w:eastAsia="en-GB" w:bidi="en-GB"/>
        </w:rPr>
        <w:t xml:space="preserve">We are proud and passionate about Manchester</w:t>
      </w:r>
    </w:p>
    <w:p>
      <w:pPr>
        <w:pStyle w:val="ListParagraph"/>
        <w:widowControl w:val="off"/>
        <w:numPr>
          <w:ilvl w:val="0"/>
          <w:numId w:val="4"/>
        </w:numPr>
        <w:tabs>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94" w:hanging="294"/>
        <w:jc w:val="both"/>
        <w:rPr>
          <w:rFonts w:ascii="Arial" w:hAnsi="Arial" w:eastAsia="Arial" w:cs="Arial"/>
          <w:lang w:val="en-GB" w:eastAsia="en-GB" w:bidi="en-GB"/>
        </w:rPr>
      </w:pPr>
      <w:r>
        <w:rPr>
          <w:rFonts w:ascii="Arial" w:hAnsi="Arial" w:eastAsia="Arial" w:cs="Arial"/>
          <w:lang w:val="en-GB" w:eastAsia="en-GB" w:bidi="en-GB"/>
        </w:rPr>
        <w:t xml:space="preserve">We take time to listen and understand </w:t>
      </w:r>
    </w:p>
    <w:p>
      <w:pPr>
        <w:pStyle w:val="ListParagraph"/>
        <w:widowControl w:val="off"/>
        <w:numPr>
          <w:ilvl w:val="0"/>
          <w:numId w:val="4"/>
        </w:numPr>
        <w:tabs>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94" w:hanging="294"/>
        <w:jc w:val="both"/>
        <w:rPr>
          <w:rFonts w:ascii="Arial" w:hAnsi="Arial" w:eastAsia="Arial" w:cs="Arial"/>
          <w:lang w:val="en-GB" w:eastAsia="en-GB" w:bidi="en-GB"/>
        </w:rPr>
      </w:pPr>
      <w:r>
        <w:rPr>
          <w:rFonts w:ascii="Arial" w:hAnsi="Arial" w:eastAsia="Arial" w:cs="Arial"/>
          <w:lang w:val="en-GB" w:eastAsia="en-GB" w:bidi="en-GB"/>
        </w:rPr>
        <w:t xml:space="preserve">We ‘own it’ and we’re not afraid to try new things  </w:t>
      </w:r>
    </w:p>
    <w:p>
      <w:pPr>
        <w:pStyle w:val="ListParagraph"/>
        <w:widowControl w:val="off"/>
        <w:numPr>
          <w:ilvl w:val="0"/>
          <w:numId w:val="4"/>
        </w:numPr>
        <w:tabs>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94" w:hanging="294"/>
        <w:jc w:val="both"/>
        <w:rPr>
          <w:rFonts w:ascii="Arial" w:hAnsi="Arial" w:eastAsia="Arial" w:cs="Arial"/>
          <w:lang w:val="en-GB" w:eastAsia="en-GB" w:bidi="en-GB"/>
        </w:rPr>
      </w:pPr>
      <w:r>
        <w:rPr>
          <w:rFonts w:ascii="Arial" w:hAnsi="Arial" w:eastAsia="Arial" w:cs="Arial"/>
          <w:lang w:val="en-GB" w:eastAsia="en-GB" w:bidi="en-GB"/>
        </w:rPr>
        <w:t xml:space="preserve">We work together and trust each other</w:t>
      </w:r>
    </w:p>
    <w:p>
      <w:pPr>
        <w:pStyle w:val="ListParagraph"/>
        <w:widowControl w:val="off"/>
        <w:numPr>
          <w:ilvl w:val="0"/>
          <w:numId w:val="4"/>
        </w:numPr>
        <w:tabs>
          <w:tab w:val="left" w:pos="2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94" w:hanging="294"/>
        <w:jc w:val="both"/>
        <w:rPr>
          <w:rFonts w:ascii="Arial" w:hAnsi="Arial" w:eastAsia="Arial" w:cs="Arial"/>
          <w:lang w:val="en-GB" w:eastAsia="en-GB" w:bidi="en-GB"/>
        </w:rPr>
      </w:pPr>
      <w:r>
        <w:rPr>
          <w:rFonts w:ascii="Arial" w:hAnsi="Arial" w:eastAsia="Arial" w:cs="Arial"/>
          <w:lang w:val="en-GB" w:eastAsia="en-GB" w:bidi="en-GB"/>
        </w:rPr>
        <w:t xml:space="preserve">We show that we value our differences and treat people fairly</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pBdr>
          <w:top w:val="single" w:sz="4" w:space="1" w:color="auto"/>
          <w:left w:val="single" w:sz="4" w:space="1" w:color="auto"/>
          <w:bottom w:val="single" w:sz="4" w:space="1" w:color="auto"/>
          <w:right w:val="single" w:sz="4" w:space="1" w:color="auto"/>
        </w:pBdr>
        <w:shd w:val="clear" w:color="auto" w:fill="00B0F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FF0000"/>
          <w:lang w:val="en-GB" w:eastAsia="en-GB" w:bidi="en-GB"/>
        </w:rPr>
      </w:pPr>
      <w:r>
        <w:rPr>
          <w:rFonts w:ascii="Arial" w:hAnsi="Arial" w:eastAsia="Arial" w:cs="Arial"/>
          <w:b/>
          <w:bCs/>
          <w:lang w:val="en-GB" w:eastAsia="en-GB" w:bidi="en-GB"/>
        </w:rPr>
        <w:t xml:space="preserve">General Skills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7"/>
        <w:jc w:val="both"/>
        <w:rPr>
          <w:rFonts w:ascii="Arial" w:hAnsi="Arial" w:eastAsia="Arial" w:cs="Arial"/>
          <w:lang w:val="en-GB" w:eastAsia="en-GB" w:bidi="en-GB"/>
        </w:rPr>
      </w:pPr>
    </w:p>
    <w:p>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7"/>
        <w:ind w:left="360" w:hanging="360"/>
        <w:jc w:val="both"/>
        <w:rPr>
          <w:rFonts w:ascii="Arial" w:hAnsi="Arial" w:eastAsia="Arial" w:cs="Arial"/>
          <w:color w:val="000000"/>
          <w:lang w:val="en-GB" w:eastAsia="en-GB" w:bidi="en-GB"/>
        </w:rPr>
      </w:pPr>
      <w:r>
        <w:rPr>
          <w:rFonts w:ascii="Arial" w:hAnsi="Arial" w:eastAsia="Arial" w:cs="Arial"/>
          <w:b/>
          <w:bCs/>
          <w:color w:val="000000"/>
          <w:lang w:val="en-GB" w:eastAsia="en-GB" w:bidi="en-GB"/>
        </w:rPr>
        <w:t xml:space="preserve">Communication Skills: </w:t>
      </w:r>
      <w:r>
        <w:rPr>
          <w:rFonts w:ascii="Arial" w:hAnsi="Arial" w:eastAsia="Arial" w:cs="Arial"/>
          <w:color w:val="000000"/>
          <w:lang w:val="en-GB" w:eastAsia="en-GB" w:bidi="en-GB"/>
        </w:rPr>
        <w:t xml:space="preserve">Ability to effectively transfer key and complex information to all levels of staff, adapting the style of communication as necessary and ensuring that this information is understood. </w:t>
      </w:r>
    </w:p>
    <w:p>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7"/>
        <w:ind w:left="360" w:hanging="360"/>
        <w:jc w:val="both"/>
        <w:rPr>
          <w:rFonts w:ascii="Arial" w:hAnsi="Arial" w:eastAsia="Arial" w:cs="Arial"/>
          <w:color w:val="000000"/>
          <w:lang w:val="en-GB" w:eastAsia="en-GB" w:bidi="en-GB"/>
        </w:rPr>
      </w:pPr>
      <w:r>
        <w:rPr>
          <w:rFonts w:ascii="Arial" w:hAnsi="Arial" w:eastAsia="Arial" w:cs="Arial"/>
          <w:b/>
          <w:bCs/>
          <w:color w:val="000000"/>
          <w:lang w:val="en-GB" w:eastAsia="en-GB" w:bidi="en-GB"/>
        </w:rPr>
        <w:t xml:space="preserve">Planning and Organising Skills: </w:t>
      </w:r>
      <w:r>
        <w:rPr>
          <w:rFonts w:ascii="Arial" w:hAnsi="Arial" w:eastAsia="Arial" w:cs="Arial"/>
          <w:color w:val="000000"/>
          <w:lang w:val="en-GB" w:eastAsia="en-GB" w:bidi="en-GB"/>
        </w:rPr>
        <w:t xml:space="preserve">Demonstrate excellent judgement skills under competing priorities and pressure. </w:t>
      </w:r>
    </w:p>
    <w:p>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7"/>
        <w:ind w:left="360" w:hanging="360"/>
        <w:jc w:val="both"/>
        <w:rPr>
          <w:rFonts w:ascii="Arial" w:hAnsi="Arial" w:eastAsia="Arial" w:cs="Arial"/>
          <w:color w:val="000000"/>
          <w:lang w:val="en-GB" w:eastAsia="en-GB" w:bidi="en-GB"/>
        </w:rPr>
      </w:pPr>
      <w:r>
        <w:rPr>
          <w:rFonts w:ascii="Arial" w:hAnsi="Arial" w:eastAsia="Arial" w:cs="Arial"/>
          <w:b/>
          <w:bCs/>
          <w:color w:val="000000"/>
          <w:lang w:val="en-GB" w:eastAsia="en-GB" w:bidi="en-GB"/>
        </w:rPr>
        <w:t xml:space="preserve">Analytical Skills: </w:t>
      </w:r>
      <w:r>
        <w:rPr>
          <w:rFonts w:ascii="Arial" w:hAnsi="Arial" w:eastAsia="Arial" w:cs="Arial"/>
          <w:color w:val="000000"/>
          <w:lang w:val="en-GB" w:eastAsia="en-GB" w:bidi="en-GB"/>
        </w:rPr>
        <w:t xml:space="preserve">Ability to absorb, understand and quickly assimilate complex information and concepts and compare information from a number of different sources. </w:t>
      </w:r>
    </w:p>
    <w:p>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7"/>
        <w:ind w:left="360" w:hanging="360"/>
        <w:jc w:val="both"/>
        <w:rPr>
          <w:rFonts w:ascii="Arial" w:hAnsi="Arial" w:eastAsia="Arial" w:cs="Arial"/>
          <w:color w:val="000000"/>
          <w:lang w:val="en-GB" w:eastAsia="en-GB" w:bidi="en-GB"/>
        </w:rPr>
      </w:pPr>
      <w:r>
        <w:rPr>
          <w:rFonts w:ascii="Arial" w:hAnsi="Arial" w:eastAsia="Arial" w:cs="Arial"/>
          <w:b/>
          <w:bCs/>
          <w:color w:val="000000"/>
          <w:lang w:val="en-GB" w:eastAsia="en-GB" w:bidi="en-GB"/>
        </w:rPr>
        <w:t xml:space="preserve">Problem Solving and Decision Making Skills: </w:t>
      </w:r>
      <w:r>
        <w:rPr>
          <w:rFonts w:ascii="Arial" w:hAnsi="Arial" w:eastAsia="Arial" w:cs="Arial"/>
          <w:color w:val="000000"/>
          <w:lang w:val="en-GB" w:eastAsia="en-GB" w:bidi="en-GB"/>
        </w:rPr>
        <w:t xml:space="preserve">Strong decision making skills with the ability to resolve complex issues in a pressurised environment </w:t>
      </w:r>
    </w:p>
    <w:p>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7"/>
        <w:ind w:left="360" w:hanging="360"/>
        <w:jc w:val="both"/>
        <w:rPr>
          <w:rFonts w:ascii="Arial" w:hAnsi="Arial" w:eastAsia="Arial" w:cs="Arial"/>
          <w:color w:val="000000"/>
          <w:lang w:val="en-GB" w:eastAsia="en-GB" w:bidi="en-GB"/>
        </w:rPr>
      </w:pPr>
      <w:r>
        <w:rPr>
          <w:rFonts w:ascii="Arial" w:hAnsi="Arial" w:eastAsia="Arial" w:cs="Arial"/>
          <w:b/>
          <w:bCs/>
          <w:color w:val="000000"/>
          <w:lang w:val="en-GB" w:eastAsia="en-GB" w:bidi="en-GB"/>
        </w:rPr>
        <w:t xml:space="preserve">Creative Skills: </w:t>
      </w:r>
      <w:r>
        <w:rPr>
          <w:rFonts w:ascii="Arial" w:hAnsi="Arial" w:eastAsia="Arial" w:cs="Arial"/>
          <w:color w:val="000000"/>
          <w:lang w:val="en-GB" w:eastAsia="en-GB" w:bidi="en-GB"/>
        </w:rPr>
        <w:t xml:space="preserve">Ability to find creative solutions where there are no existing parameters or procedural framework. </w:t>
      </w:r>
    </w:p>
    <w:p>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Arial" w:hAnsi="Arial" w:eastAsia="Arial" w:cs="Arial"/>
          <w:color w:val="000000"/>
          <w:lang w:val="en-GB" w:eastAsia="en-GB" w:bidi="en-GB"/>
        </w:rPr>
      </w:pPr>
      <w:r>
        <w:rPr>
          <w:rFonts w:ascii="Arial" w:hAnsi="Arial" w:eastAsia="Arial" w:cs="Arial"/>
          <w:b/>
          <w:bCs/>
          <w:color w:val="000000"/>
          <w:lang w:val="en-GB" w:eastAsia="en-GB" w:bidi="en-GB"/>
        </w:rPr>
        <w:t xml:space="preserve">IT Skills: </w:t>
      </w:r>
      <w:r>
        <w:rPr>
          <w:rFonts w:ascii="Arial" w:hAnsi="Arial" w:eastAsia="Arial" w:cs="Arial"/>
          <w:color w:val="000000"/>
          <w:lang w:val="en-GB" w:eastAsia="en-GB" w:bidi="en-GB"/>
        </w:rPr>
        <w:t xml:space="preserve">Skills to use ICT systems to obtain and analyse data and present it effectively through a variety of ICT channels. </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pBdr>
          <w:top w:val="single" w:sz="4" w:space="1" w:color="auto"/>
          <w:left w:val="single" w:sz="4" w:space="1" w:color="auto"/>
          <w:bottom w:val="single" w:sz="4" w:space="1" w:color="auto"/>
          <w:right w:val="single" w:sz="4" w:space="1" w:color="auto"/>
        </w:pBdr>
        <w:shd w:val="clear" w:color="auto" w:fill="00B0F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FF0000"/>
          <w:lang w:val="en-GB" w:eastAsia="en-GB" w:bidi="en-GB"/>
        </w:rPr>
      </w:pPr>
      <w:r>
        <w:rPr>
          <w:rFonts w:ascii="Arial" w:hAnsi="Arial" w:eastAsia="Arial" w:cs="Arial"/>
          <w:b/>
          <w:bCs/>
          <w:lang w:val="en-GB" w:eastAsia="en-GB" w:bidi="en-GB"/>
        </w:rPr>
        <w:t xml:space="preserve">Technical Requirements (Role Specific)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color w:val="000000"/>
          <w:lang w:val="en-GB" w:eastAsia="en-GB" w:bidi="en-GB"/>
        </w:rPr>
      </w:pPr>
      <w:r>
        <w:rPr>
          <w:rFonts w:ascii="Arial" w:hAnsi="Arial" w:eastAsia="Arial" w:cs="Arial"/>
          <w:sz w:val="23"/>
          <w:szCs w:val="23"/>
          <w:lang w:val="en-GB" w:eastAsia="en-GB" w:bidi="en-GB"/>
        </w:rPr>
        <w:t xml:space="preserve">H</w:t>
      </w:r>
      <w:r>
        <w:rPr>
          <w:rFonts w:ascii="Arial" w:hAnsi="Arial" w:eastAsia="Arial" w:cs="Arial"/>
          <w:lang w:val="en-GB" w:eastAsia="en-GB" w:bidi="en-GB"/>
        </w:rPr>
        <w:t xml:space="preserve">old a BSC (Hons) in Occupational Therapy, and at least 2 years experience working as an Occupational Therapist.</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color w:val="000000"/>
          <w:lang w:val="en-GB" w:eastAsia="en-GB" w:bidi="en-GB"/>
        </w:rPr>
      </w:pPr>
      <w:r>
        <w:rPr>
          <w:rFonts w:ascii="Arial" w:hAnsi="Arial" w:eastAsia="Arial" w:cs="Arial"/>
          <w:lang w:val="en-GB" w:eastAsia="en-GB" w:bidi="en-GB"/>
        </w:rPr>
        <w:t xml:space="preserve">Registered with the Health Care Professionals Council (HCPC). </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lang w:val="en-GB" w:eastAsia="en-GB" w:bidi="en-GB"/>
        </w:rPr>
      </w:pPr>
      <w:r>
        <w:rPr>
          <w:rFonts w:ascii="Arial" w:hAnsi="Arial" w:eastAsia="Arial" w:cs="Arial"/>
          <w:color w:val="000000"/>
          <w:lang w:val="en-GB" w:eastAsia="en-GB" w:bidi="en-GB"/>
        </w:rPr>
        <w:t xml:space="preserve">Maintains the standards set out by the HCPC and Royal College of Occupational Therapy (RCOT)</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color w:val="000000"/>
          <w:lang w:val="en-GB" w:eastAsia="en-GB" w:bidi="en-GB"/>
        </w:rPr>
      </w:pPr>
      <w:r>
        <w:rPr>
          <w:rFonts w:ascii="Arial" w:hAnsi="Arial" w:eastAsia="Arial" w:cs="Arial"/>
          <w:lang w:val="en-GB" w:eastAsia="en-GB" w:bidi="en-GB"/>
        </w:rPr>
        <w:t xml:space="preserve">Willingness to consent to and apply for an enhanced Disclosure and Barring Service.</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color w:val="000000"/>
          <w:lang w:val="en-GB" w:eastAsia="en-GB" w:bidi="en-GB"/>
        </w:rPr>
      </w:pPr>
      <w:r>
        <w:rPr>
          <w:rFonts w:ascii="Arial" w:hAnsi="Arial" w:eastAsia="Arial" w:cs="Arial"/>
          <w:lang w:val="en-GB" w:eastAsia="en-GB" w:bidi="en-GB"/>
        </w:rPr>
        <w:t xml:space="preserve">Current driving licence and access to a vehicle.</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color w:val="000000"/>
          <w:lang w:val="en-GB" w:eastAsia="en-GB" w:bidi="en-GB"/>
        </w:rPr>
      </w:pPr>
      <w:r>
        <w:rPr>
          <w:rFonts w:ascii="Arial" w:hAnsi="Arial" w:eastAsia="Arial" w:cs="Arial"/>
          <w:lang w:val="en-GB" w:eastAsia="en-GB" w:bidi="en-GB"/>
        </w:rPr>
        <w:t xml:space="preserve">Excellent </w:t>
      </w:r>
      <w:r>
        <w:rPr>
          <w:rFonts w:ascii="Arial" w:hAnsi="Arial" w:eastAsia="Arial" w:cs="Arial"/>
          <w:color w:val="000000"/>
          <w:lang w:val="en-GB" w:eastAsia="en-GB" w:bidi="en-GB"/>
        </w:rPr>
        <w:t xml:space="preserve">knowledge of Occupational Therapy Models of Practice, and sensory processing assessments and interventions </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5" w:line="250" w:lineRule="auto"/>
        <w:ind w:left="720" w:right="146" w:hanging="360"/>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Extensive experience and knowledge of delivering high-quality occupational therapy assessments and interventions for autistic adults, to support individuals in achieving independence and well-being, including standardised assessments such as MOHO and the Adult Sensory Profile. </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Good understanding of relevant legislation related to social care &amp; Autism</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color w:val="000000"/>
          <w:lang w:val="en-GB" w:eastAsia="en-GB" w:bidi="en-GB"/>
        </w:rPr>
      </w:pPr>
      <w:r>
        <w:rPr>
          <w:rFonts w:ascii="Arial" w:hAnsi="Arial" w:eastAsia="Arial" w:cs="Arial"/>
          <w:lang w:val="en-GB" w:eastAsia="en-GB" w:bidi="en-GB"/>
        </w:rPr>
        <w:t xml:space="preserve">Strong communication, documentation, interpersonal, and organizational skills</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color w:val="000000"/>
          <w:lang w:val="en-GB" w:eastAsia="en-GB" w:bidi="en-GB"/>
        </w:rPr>
      </w:pPr>
      <w:r>
        <w:rPr>
          <w:rFonts w:ascii="Arial" w:hAnsi="Arial" w:eastAsia="Arial" w:cs="Arial"/>
          <w:color w:val="000000"/>
          <w:lang w:val="en-GB" w:eastAsia="en-GB" w:bidi="en-GB"/>
        </w:rPr>
        <w:t xml:space="preserve">Training in Sensory Integration Level 1, Assessment of Motor and Process Skills, and/or Active Support desirable; or commitment to undertake this training.</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color w:val="000000"/>
          <w:lang w:val="en-GB" w:eastAsia="en-GB" w:bidi="en-GB"/>
        </w:rPr>
      </w:pPr>
    </w:p>
    <w:sectPr>
      <w:headerReference w:type="default" r:id="rId00009"/>
      <w:footerReference w:type="default" r:id="rId00010"/>
      <w:pgSz w:w="11906" w:h="16838"/>
      <w:pgMar w:top="1440" w:right="1800" w:bottom="1440" w:left="1800" w:header="708" w:footer="708"/>
      <w:pgNumType w:start="1"/>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 w:name="Tahoma">
    <w:panose1 w:val="020B0604030504040204"/>
    <w:charset w:val="00"/>
    <w:family w:val="swiss"/>
    <w:pitch w:val="variable"/>
    <w:sig w:usb0="E1002EFF" w:usb1="C000605B" w:usb2="00000029" w:usb3="00000000" w:csb0="200101FF" w:csb1="2028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Normal"/>
      <w:tabs>
        <w:tab w:val="center" w:pos="4153"/>
        <w:tab w:val="right" w:pos="8306"/>
      </w:tabs>
      <w:jc w:val="right"/>
      <w:rPr>
        <w:rFonts w:ascii="Tahoma" w:hAnsi="Tahoma" w:eastAsia="Tahoma" w:cs="Tahoma"/>
        <w:color w:val="000000"/>
        <w:sz w:val="20"/>
        <w:szCs w:val="20"/>
        <w:lang w:val="en-GB" w:eastAsia="en-GB" w:bidi="en-GB"/>
      </w:rPr>
    </w:pPr>
    <w:r>
      <w:drawing>
        <wp:anchor distT="0" distB="0" distL="114300" distR="114300" simplePos="0" relativeHeight="251661312" behindDoc="0" locked="0" layoutInCell="1" hidden="0" allowOverlap="1">
          <wp:simplePos x="0" y="0"/>
          <wp:positionH relativeFrom="column">
            <wp:posOffset>-407035</wp:posOffset>
          </wp:positionH>
          <wp:positionV relativeFrom="paragraph">
            <wp:posOffset>0</wp:posOffset>
          </wp:positionV>
          <wp:extent cx="5330825" cy="690880"/>
          <wp:wrapSquare wrapText="bothSides"/>
          <wp:docPr id="3" name="Picture 2"/>
          <a:graphic xmlns:a="http://schemas.openxmlformats.org/drawingml/2006/main">
            <a:graphicData uri="http://schemas.openxmlformats.org/drawingml/2006/picture">
              <pic:pic xmlns:pic="http://schemas.openxmlformats.org/drawingml/2006/picture">
                <pic:nvPicPr>
                  <pic:cNvPr id="0" name="Image 3"/>
                  <pic:cNvPicPr/>
                </pic:nvPicPr>
                <pic:blipFill>
                  <a:blip r:embed="rId00008"/>
                  <a:stretch>
                    <a:fillRect/>
                  </a:stretch>
                </pic:blipFill>
                <pic:spPr>
                  <a:xfrm>
                    <a:off x="0" y="0"/>
                    <a:ext cx="5330825" cy="690880"/>
                  </a:xfrm>
                  <a:prstGeom prst="rect">
                    <a:avLst/>
                  </a:prstGeom>
                </pic:spPr>
              </pic:pic>
            </a:graphicData>
          </a:graphic>
        </wp:anchor>
      </w:drawing>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Normal"/>
      <w:tabs>
        <w:tab w:val="center" w:pos="4153"/>
        <w:tab w:val="right" w:pos="8306"/>
      </w:tabs>
      <w:jc w:val="right"/>
      <w:rPr>
        <w:color w:val="000000"/>
        <w:lang w:val="en-GB" w:eastAsia="en-GB" w:bidi="en-GB"/>
      </w:rPr>
    </w:pPr>
    <w:r>
      <w:drawing>
        <wp:anchor distT="0" distB="0" distL="114300" distR="114300" simplePos="0" relativeHeight="251660288" behindDoc="0" locked="0" layoutInCell="1" hidden="0" allowOverlap="1">
          <wp:simplePos x="0" y="0"/>
          <wp:positionH relativeFrom="column">
            <wp:posOffset>4076700</wp:posOffset>
          </wp:positionH>
          <wp:positionV relativeFrom="paragraph">
            <wp:posOffset>0</wp:posOffset>
          </wp:positionV>
          <wp:extent cx="2132330" cy="409575"/>
          <wp:wrapSquare wrapText="bothSides"/>
          <wp:docPr id="1" name="image1.png"/>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6"/>
                  <a:stretch>
                    <a:fillRect/>
                  </a:stretch>
                </pic:blipFill>
                <pic:spPr>
                  <a:xfrm>
                    <a:off x="0" y="0"/>
                    <a:ext cx="2132330" cy="409575"/>
                  </a:xfrm>
                  <a:prstGeom prst="rect">
                    <a:avLst/>
                  </a:prstGeom>
                </pic:spPr>
              </pic:pic>
            </a:graphicData>
          </a:graphic>
        </wp:anchor>
      </w:drawing>
    </w:r>
    <w:r>
      <w:drawing>
        <wp:anchor distT="0" distB="0" distL="114300" distR="114300" simplePos="0" relativeHeight="251659264" behindDoc="0" locked="0" layoutInCell="1" hidden="0" allowOverlap="1">
          <wp:simplePos x="0" y="0"/>
          <wp:positionH relativeFrom="column">
            <wp:posOffset>-1064260</wp:posOffset>
          </wp:positionH>
          <wp:positionV relativeFrom="paragraph">
            <wp:posOffset>0</wp:posOffset>
          </wp:positionV>
          <wp:extent cx="1936115" cy="673735"/>
          <wp:wrapSquare wrapText="bothSides"/>
          <wp:docPr id="2" name="image2.png"/>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7"/>
                  <a:stretch>
                    <a:fillRect/>
                  </a:stretch>
                </pic:blipFill>
                <pic:spPr>
                  <a:xfrm>
                    <a:off x="0" y="0"/>
                    <a:ext cx="1936115" cy="673735"/>
                  </a:xfrm>
                  <a:prstGeom prst="rect">
                    <a:avLst/>
                  </a:prstGeom>
                </pic:spPr>
              </pic:pic>
            </a:graphicData>
          </a:graphic>
        </wp:anchor>
      </w:drawing>
    </w: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4"/>
        <w:u w:val="none"/>
        <w:shd w:val="clear" w:color="auto" w:fill="auto"/>
      </w:rPr>
    </w:lvl>
  </w:abstractNum>
  <w:abstractNum w:abstractNumId="1">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000000"/>
        <w:position w:val="0"/>
        <w:sz w:val="24"/>
        <w:u w:val="none"/>
        <w:shd w:val="clear" w:color="auto" w:fill="auto"/>
      </w:rPr>
    </w:lvl>
  </w:abstractNum>
  <w:abstractNum w:abstractNumId="2">
    <w:multiLevelType w:val="singleLevel"/>
    <w:lvl w:ilvl="0">
      <w:start w:val="1"/>
      <w:numFmt w:val="bullet"/>
      <w:suff w:val="tab"/>
      <w:lvlText w:val=""/>
      <w:pPr>
        <w:ind w:left="294" w:hanging="294"/>
        <w:tabs>
          <w:tab w:val="num" w:pos="294"/>
        </w:tabs>
      </w:pPr>
      <w:rPr>
        <w:rFonts w:hint="default" w:ascii="Symbol" w:hAnsi="Symbol" w:eastAsia="Symbol" w:cs="Symbol"/>
        <w:b w:val="off"/>
        <w:i w:val="off"/>
        <w:strike w:val="off"/>
        <w:color w:val="222222"/>
        <w:position w:val="0"/>
        <w:sz w:val="24"/>
        <w:u w:val="none"/>
        <w:shd w:val="clear" w:color="auto" w:fill="auto"/>
      </w:rPr>
    </w:lvl>
  </w:abstractNum>
  <w:abstractNum w:abstractNumId="3">
    <w:multiLevelType w:val="singleLevel"/>
    <w:lvl w:ilvl="0">
      <w:start w:val="1"/>
      <w:numFmt w:val="bullet"/>
      <w:suff w:val="tab"/>
      <w:lvlText w:val=""/>
      <w:pPr>
        <w:ind w:left="294" w:hanging="294"/>
        <w:tabs>
          <w:tab w:val="num" w:pos="294"/>
        </w:tabs>
      </w:pPr>
      <w:rPr>
        <w:rFonts w:hint="default" w:ascii="Symbol" w:hAnsi="Symbol" w:eastAsia="Symbol" w:cs="Symbol"/>
        <w:b w:val="off"/>
        <w:i w:val="off"/>
        <w:strike w:val="off"/>
        <w:color w:val="auto"/>
        <w:position w:val="0"/>
        <w:sz w:val="24"/>
        <w:u w:val="none"/>
        <w:shd w:val="clear" w:color="auto" w:fill="auto"/>
      </w:rPr>
    </w:lvl>
  </w:abstractNum>
  <w:abstractNum w:abstractNumId="4">
    <w:multiLevelType w:val="singleLevel"/>
    <w:lvl w:ilvl="0">
      <w:start w:val="1"/>
      <w:numFmt w:val="bullet"/>
      <w:suff w:val="tab"/>
      <w:lvlText w:val=""/>
      <w:pPr>
        <w:ind w:left="360" w:hanging="360"/>
        <w:tabs>
          <w:tab w:val="num" w:pos="360"/>
        </w:tabs>
      </w:pPr>
      <w:rPr>
        <w:rFonts w:hint="default" w:ascii="Symbol" w:hAnsi="Symbol" w:eastAsia="Symbol" w:cs="Symbol"/>
        <w:b w:val="on"/>
        <w:i w:val="off"/>
        <w:strike w:val="off"/>
        <w:color w:val="000000"/>
        <w:position w:val="0"/>
        <w:sz w:val="24"/>
        <w:u w:val="none"/>
        <w:shd w:val="clear" w:color="auto" w:fill="auto"/>
      </w:rPr>
    </w:lvl>
  </w:abstractNum>
  <w:abstractNum w:abstractNumId="5">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3"/>
        <w:u w:val="none"/>
        <w:shd w:val="clear" w:color="auto" w:fill="auto"/>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Times New Roman" w:hAnsi="Times New Roman" w:eastAsia="Times New Roman" w:cs="Times New Roman"/>
      <w:b w:val="off"/>
      <w:bCs w:val="off"/>
      <w:i w:val="off"/>
      <w:iCs w:val="off"/>
      <w:caps w:val="off"/>
      <w:smallCaps w:val="off"/>
      <w:strike w:val="off"/>
      <w:color w:val="auto"/>
      <w:spacing w:val="0"/>
      <w:w w:val="100"/>
      <w:position w:val="0"/>
      <w:sz w:val="24"/>
      <w:szCs w:val="24"/>
      <w:shd w:val="clear" w:color="auto" w:fill="auto"/>
      <w:vertAlign w:val="baseline"/>
      <w:rtl w:val="off"/>
      <w:lang w:val="en-GB" w:eastAsia="en-GB" w:bidi="en-GB"/>
    </w:rPr>
  </w:style>
  <w:style w:type="paragraph" w:styleId="ListParagraph">
    <w:name w:val="List Paragraph"/>
    <w:basedOn w:val="Normal"/>
    <w:next w:val="ListParagraph"/>
    <w:qFormat/>
    <w:pPr>
      <w:ind w:left="720"/>
    </w:pPr>
    <w:rPr>
      <w:lang w:val="en-GB" w:eastAsia="en-GB" w:bidi="en-GB"/>
    </w:rPr>
  </w:style>
  <w:style w:type="paragraph" w:styleId="Heading1">
    <w:name w:val="heading 1"/>
    <w:basedOn w:val="Normal"/>
    <w:next w:val="Normal"/>
    <w:qFormat/>
    <w:pPr>
      <w:keepNext/>
      <w:keepLines/>
      <w:spacing w:before="480" w:after="120"/>
      <w:outlineLvl w:val="0"/>
    </w:pPr>
    <w:rPr>
      <w:b/>
      <w:bCs/>
      <w:sz w:val="48"/>
      <w:szCs w:val="48"/>
      <w:lang w:val="en-GB" w:eastAsia="en-GB" w:bidi="en-GB"/>
    </w:rPr>
  </w:style>
  <w:style w:type="paragraph" w:styleId="Heading2">
    <w:name w:val="heading 2"/>
    <w:basedOn w:val="Normal"/>
    <w:next w:val="Normal"/>
    <w:qFormat/>
    <w:pPr>
      <w:keepNext/>
      <w:keepLines/>
      <w:spacing w:before="360" w:after="80"/>
      <w:outlineLvl w:val="1"/>
    </w:pPr>
    <w:rPr>
      <w:b/>
      <w:bCs/>
      <w:sz w:val="36"/>
      <w:szCs w:val="36"/>
      <w:lang w:val="en-GB" w:eastAsia="en-GB" w:bidi="en-GB"/>
    </w:rPr>
  </w:style>
  <w:style w:type="paragraph" w:styleId="Heading3">
    <w:name w:val="heading 3"/>
    <w:basedOn w:val="Normal"/>
    <w:next w:val="Normal"/>
    <w:qFormat/>
    <w:pPr>
      <w:keepNext/>
      <w:spacing w:before="240" w:after="60"/>
      <w:outlineLvl w:val="2"/>
    </w:pPr>
    <w:rPr>
      <w:rFonts w:ascii="Arial" w:hAnsi="Arial" w:eastAsia="Arial" w:cs="Arial"/>
      <w:b/>
      <w:bCs/>
      <w:sz w:val="26"/>
      <w:szCs w:val="26"/>
      <w:lang w:val="en-GB" w:eastAsia="en-GB" w:bidi="en-GB"/>
    </w:rPr>
  </w:style>
  <w:style w:type="paragraph" w:styleId="Heading4">
    <w:name w:val="heading 4"/>
    <w:basedOn w:val="Normal"/>
    <w:next w:val="Normal"/>
    <w:qFormat/>
    <w:pPr>
      <w:keepNext/>
      <w:spacing w:before="240" w:after="60"/>
      <w:outlineLvl w:val="3"/>
    </w:pPr>
    <w:rPr>
      <w:b/>
      <w:bCs/>
      <w:sz w:val="28"/>
      <w:szCs w:val="28"/>
      <w:lang w:val="en-GB" w:eastAsia="en-GB" w:bidi="en-GB"/>
    </w:rPr>
  </w:style>
  <w:style w:type="paragraph" w:styleId="Heading5">
    <w:name w:val="heading 5"/>
    <w:basedOn w:val="Normal"/>
    <w:next w:val="Normal"/>
    <w:qFormat/>
    <w:pPr>
      <w:keepNext/>
      <w:keepLines/>
      <w:spacing w:before="220" w:after="40"/>
      <w:outlineLvl w:val="4"/>
    </w:pPr>
    <w:rPr>
      <w:b/>
      <w:bCs/>
      <w:sz w:val="22"/>
      <w:szCs w:val="22"/>
      <w:lang w:val="en-GB" w:eastAsia="en-GB" w:bidi="en-GB"/>
    </w:rPr>
  </w:style>
  <w:style w:type="paragraph" w:styleId="Heading6">
    <w:name w:val="heading 6"/>
    <w:basedOn w:val="Normal"/>
    <w:next w:val="Normal"/>
    <w:qFormat/>
    <w:pPr>
      <w:keepNext/>
      <w:keepLines/>
      <w:spacing w:before="200" w:after="40"/>
      <w:outlineLvl w:val="5"/>
    </w:pPr>
    <w:rPr>
      <w:b/>
      <w:bCs/>
      <w:sz w:val="20"/>
      <w:szCs w:val="20"/>
      <w:lang w:val="en-GB" w:eastAsia="en-GB" w:bidi="en-GB"/>
    </w:rPr>
  </w:style>
  <w:style w:type="paragraph" w:styleId="Title">
    <w:name w:val="Title"/>
    <w:basedOn w:val="Normal"/>
    <w:next w:val="Normal"/>
    <w:qFormat/>
    <w:pPr>
      <w:keepNext/>
      <w:keepLines/>
      <w:spacing w:before="480" w:after="120"/>
    </w:pPr>
    <w:rPr>
      <w:b/>
      <w:bCs/>
      <w:sz w:val="72"/>
      <w:szCs w:val="72"/>
      <w:lang w:val="en-GB" w:eastAsia="en-GB" w:bidi="en-GB"/>
    </w:rPr>
  </w:style>
  <w:style w:type="paragraph" w:styleId="Subtitle">
    <w:name w:val="Subtitle"/>
    <w:basedOn w:val="Normal"/>
    <w:next w:val="Normal"/>
    <w:qFormat/>
    <w:pPr>
      <w:keepNext/>
      <w:keepLines/>
      <w:spacing w:before="360" w:after="80"/>
    </w:pPr>
    <w:rPr>
      <w:rFonts w:ascii="Georgia" w:hAnsi="Georgia" w:eastAsia="Georgia" w:cs="Georgia"/>
      <w:i/>
      <w:iCs/>
      <w:color w:val="666666"/>
      <w:sz w:val="48"/>
      <w:szCs w:val="48"/>
      <w:lang w:val="en-GB" w:eastAsia="en-GB" w:bidi="en-GB"/>
    </w:rPr>
  </w:style>
  <w:style w:type="paragraph" w:styleId="Header">
    <w:name w:val="header"/>
    <w:basedOn w:val="Normal"/>
    <w:next w:val="Header"/>
    <w:qFormat/>
    <w:pPr>
      <w:tabs>
        <w:tab w:val="center" w:pos="4513"/>
        <w:tab w:val="right" w:pos="9026"/>
      </w:tabs>
    </w:pPr>
    <w:rPr>
      <w:lang w:val="en-GB" w:eastAsia="en-GB" w:bidi="en-GB"/>
    </w:rPr>
  </w:style>
  <w:style w:type="paragraph" w:styleId="Footer">
    <w:name w:val="footer"/>
    <w:basedOn w:val="Normal"/>
    <w:next w:val="Footer"/>
    <w:qFormat/>
    <w:pPr>
      <w:tabs>
        <w:tab w:val="center" w:pos="4513"/>
        <w:tab w:val="right" w:pos="9026"/>
      </w:tabs>
    </w:pPr>
    <w:rPr>
      <w:lang w:val="en-GB" w:eastAsia="en-GB" w:bidi="en-GB"/>
    </w:rPr>
  </w:style>
  <w:style w:type="paragraph" w:styleId="Default Text" w:customStyle="1">
    <w:name w:val="Default Text"/>
    <w:basedOn w:val="Normal"/>
    <w:next w:val="Default Text"/>
    <w:qFormat/>
    <w:pPr/>
    <w:rPr>
      <w:rFonts w:ascii="Arial" w:hAnsi="Arial" w:eastAsia="Arial" w:cs="Arial"/>
      <w:color w:val="000000"/>
      <w:lang w:val="en-US" w:eastAsia="en-US" w:bidi="en-US"/>
    </w:rPr>
  </w:style>
  <w:style w:type="paragraph" w:styleId="NormalWeb">
    <w:name w:val="Normal (Web)"/>
    <w:basedOn w:val="Normal"/>
    <w:next w:val="NormalWeb"/>
    <w:qFormat/>
    <w:pPr/>
    <w:rPr>
      <w:lang w:val="en-GB" w:eastAsia="en-GB" w:bidi="en-GB"/>
    </w:rPr>
  </w:style>
  <w:style w:type="paragraph" w:styleId="BodyText2">
    <w:name w:val="Body Text 2"/>
    <w:basedOn w:val="Normal"/>
    <w:next w:val="BodyText2"/>
    <w:qFormat/>
    <w:pPr>
      <w:spacing w:after="120" w:line="480" w:lineRule="auto"/>
    </w:pPr>
    <w:rPr>
      <w:lang w:val="en-GB" w:eastAsia="en-GB" w:bidi="en-GB"/>
    </w:rPr>
  </w:style>
  <w:style w:type="paragraph" w:styleId="ssdefault" w:customStyle="1">
    <w:name w:val="ssdefault"/>
    <w:basedOn w:val="Normal"/>
    <w:next w:val="ssdefault"/>
    <w:qFormat/>
    <w:pPr>
      <w:widowControl w:val="off"/>
    </w:pPr>
    <w:rPr>
      <w:rFonts w:ascii="Arial" w:hAnsi="Arial" w:eastAsia="Arial" w:cs="Arial"/>
      <w:lang w:val="en-GB" w:eastAsia="en-GB" w:bidi="en-GB"/>
    </w:rPr>
  </w:style>
  <w:style w:type="character" w:styleId="Header Char" w:customStyle="1">
    <w:name w:val="Header Char"/>
    <w:qFormat/>
    <w:rPr>
      <w:rtl w:val="off"/>
    </w:rPr>
  </w:style>
  <w:style w:type="character" w:styleId="Footer Char" w:customStyle="1">
    <w:name w:val="Footer Char"/>
    <w:qFormat/>
    <w:rPr>
      <w:rtl w:val="off"/>
    </w:rPr>
  </w:style>
  <w:style w:type="character" w:styleId="Body Text 2 Char" w:customStyle="1">
    <w:name w:val="Body Text 2 Char"/>
    <w:qFormat/>
    <w:rPr>
      <w:rtl w:val="off"/>
      <w:lang w:val="en-GB" w:eastAsia="en-GB" w:bidi="en-GB"/>
    </w:rPr>
  </w:style>
  <w:style w:type="paragraph" w:styleId="Default" w:customStyle="1">
    <w:name w:val="Default"/>
    <w:basedOn w:val="[Normal]"/>
    <w:next w:val="Default"/>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color w:val="000000"/>
      <w:sz w:val="24"/>
      <w:szCs w:val="24"/>
      <w:lang w:val="en-GB" w:eastAsia="en-GB" w:bidi="en-GB"/>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9" Type="http://schemas.openxmlformats.org/officeDocument/2006/relationships/header" Target="header0001.xml"/>
	<Relationship Id="rId00010" Type="http://schemas.openxmlformats.org/officeDocument/2006/relationships/footer" Target="footer0001.xml"/>
	<Relationship Id="rId00011" Type="http://schemas.openxmlformats.org/officeDocument/2006/relationships/numbering" Target="numbering.xml"/>
	<Relationship Id="rId00012" Type="http://schemas.openxmlformats.org/officeDocument/2006/relationships/fontTable" Target="fontTable.xml"/>
	<Relationship Id="rId00013" Type="http://schemas.openxmlformats.org/officeDocument/2006/relationships/settings" Target="settings.xml"/>
</Relationships>
</file>

<file path=word/_rels/footer0001.xml.rels><?xml version="1.0" encoding="UTF-8" standalone="yes"?><Relationships xmlns="http://schemas.openxmlformats.org/package/2006/relationships">
	<Relationship Id="rId00008" Type="http://schemas.openxmlformats.org/officeDocument/2006/relationships/image" Target="media/image0003.png"/>
</Relationships>
</file>

<file path=word/_rels/header0001.xml.rels><?xml version="1.0" encoding="UTF-8" standalone="yes"?><Relationships xmlns="http://schemas.openxmlformats.org/package/2006/relationships">
	<Relationship Id="rId00006" Type="http://schemas.openxmlformats.org/officeDocument/2006/relationships/image" Target="media/image0001.png"/>
	<Relationship Id="rId00007" Type="http://schemas.openxmlformats.org/officeDocument/2006/relationships/image" Target="media/image0002.png"/>
</Relationships>
</file>

<file path=docProps/app.xml><?xml version="1.0" encoding="utf-8"?>
<Properties xmlns="http://schemas.openxmlformats.org/officeDocument/2006/extended-properties" xmlns:vt="http://schemas.openxmlformats.org/officeDocument/2006/docPropsVTypes">
  <Application>Microsoft Word for the web</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 Hilton-Duncan</dc:creator>
  <dcterms:created xsi:type="dcterms:W3CDTF">2026-01-09T16:13:00Z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0x010100B486765B63E50E478E0551529043456E</vt:lpwstr>
  </property>
  <property fmtid="{D5CDD505-2E9C-101B-9397-08002B2CF9AE}" pid="3" name="Order">
    <vt:r8>25100</vt:r8>
  </property>
</Properties>
</file>