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B04F4" w14:textId="3B13D8C1" w:rsidR="00206520" w:rsidRPr="00206520" w:rsidRDefault="00206520" w:rsidP="00206520">
      <w:pPr>
        <w:pStyle w:val="Heading2"/>
        <w:spacing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Style w:val="Strong"/>
          <w:rFonts w:ascii="Century Gothic" w:eastAsiaTheme="majorEastAsia" w:hAnsi="Century Gothic" w:cs="Segoe UI"/>
          <w:b/>
          <w:bCs/>
          <w:sz w:val="24"/>
          <w:szCs w:val="24"/>
        </w:rPr>
        <w:t xml:space="preserve">Bridgelea: </w:t>
      </w:r>
      <w:r w:rsidRPr="00206520">
        <w:rPr>
          <w:rFonts w:ascii="Century Gothic" w:hAnsi="Century Gothic" w:cs="Segoe UI"/>
          <w:sz w:val="24"/>
          <w:szCs w:val="24"/>
        </w:rPr>
        <w:t>SEMH Class Teacher</w:t>
      </w:r>
    </w:p>
    <w:p w14:paraId="23810F87" w14:textId="293D6A5D" w:rsidR="00206520" w:rsidRPr="00206520" w:rsidRDefault="00206520" w:rsidP="00206520">
      <w:pPr>
        <w:pStyle w:val="NormalWeb"/>
        <w:spacing w:line="300" w:lineRule="atLeast"/>
        <w:rPr>
          <w:rFonts w:ascii="Century Gothic" w:hAnsi="Century Gothic" w:cs="Segoe UI"/>
        </w:rPr>
      </w:pPr>
      <w:r w:rsidRPr="00206520">
        <w:rPr>
          <w:rStyle w:val="Strong"/>
          <w:rFonts w:ascii="Century Gothic" w:eastAsiaTheme="majorEastAsia" w:hAnsi="Century Gothic" w:cs="Segoe UI"/>
        </w:rPr>
        <w:t>Reports to:</w:t>
      </w:r>
      <w:r w:rsidRPr="00206520">
        <w:rPr>
          <w:rFonts w:ascii="Century Gothic" w:hAnsi="Century Gothic" w:cs="Segoe UI"/>
        </w:rPr>
        <w:t xml:space="preserve"> Headteacher</w:t>
      </w:r>
      <w:r w:rsidRPr="00206520">
        <w:rPr>
          <w:rFonts w:ascii="Century Gothic" w:hAnsi="Century Gothic" w:cs="Segoe UI"/>
        </w:rPr>
        <w:br/>
      </w:r>
      <w:r w:rsidRPr="00206520">
        <w:rPr>
          <w:rStyle w:val="Strong"/>
          <w:rFonts w:ascii="Century Gothic" w:eastAsiaTheme="majorEastAsia" w:hAnsi="Century Gothic" w:cs="Segoe UI"/>
        </w:rPr>
        <w:t>Location:</w:t>
      </w:r>
      <w:r w:rsidRPr="00206520">
        <w:rPr>
          <w:rFonts w:ascii="Century Gothic" w:hAnsi="Century Gothic" w:cs="Segoe UI"/>
        </w:rPr>
        <w:t xml:space="preserve"> PRU or SEMH Special Primary School</w:t>
      </w:r>
      <w:r w:rsidRPr="00206520">
        <w:rPr>
          <w:rFonts w:ascii="Century Gothic" w:hAnsi="Century Gothic" w:cs="Segoe UI"/>
        </w:rPr>
        <w:br/>
      </w:r>
      <w:r w:rsidRPr="00206520">
        <w:rPr>
          <w:rStyle w:val="Strong"/>
          <w:rFonts w:ascii="Century Gothic" w:eastAsiaTheme="majorEastAsia" w:hAnsi="Century Gothic" w:cs="Segoe UI"/>
        </w:rPr>
        <w:t>Salary:</w:t>
      </w:r>
      <w:r w:rsidRPr="00206520">
        <w:rPr>
          <w:rFonts w:ascii="Century Gothic" w:hAnsi="Century Gothic" w:cs="Segoe UI"/>
        </w:rPr>
        <w:t xml:space="preserve"> MPS/UPS + SEN Allowance</w:t>
      </w:r>
      <w:r w:rsidRPr="00206520">
        <w:rPr>
          <w:rFonts w:ascii="Century Gothic" w:hAnsi="Century Gothic" w:cs="Segoe UI"/>
        </w:rPr>
        <w:br/>
      </w:r>
      <w:r w:rsidRPr="00206520">
        <w:rPr>
          <w:rStyle w:val="Strong"/>
          <w:rFonts w:ascii="Century Gothic" w:eastAsiaTheme="majorEastAsia" w:hAnsi="Century Gothic" w:cs="Segoe UI"/>
        </w:rPr>
        <w:t>Contract:</w:t>
      </w:r>
      <w:r w:rsidRPr="00206520">
        <w:rPr>
          <w:rFonts w:ascii="Century Gothic" w:hAnsi="Century Gothic" w:cs="Segoe UI"/>
        </w:rPr>
        <w:t xml:space="preserve"> Full-time</w:t>
      </w:r>
    </w:p>
    <w:p w14:paraId="6185B9DE" w14:textId="77777777" w:rsidR="00206520" w:rsidRPr="00206520" w:rsidRDefault="00206520" w:rsidP="00206520">
      <w:pPr>
        <w:pStyle w:val="Heading2"/>
        <w:spacing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Style w:val="Strong"/>
          <w:rFonts w:ascii="Century Gothic" w:eastAsiaTheme="majorEastAsia" w:hAnsi="Century Gothic" w:cs="Segoe UI"/>
          <w:b/>
          <w:bCs/>
          <w:sz w:val="24"/>
          <w:szCs w:val="24"/>
        </w:rPr>
        <w:t>Purpose of the Role</w:t>
      </w:r>
    </w:p>
    <w:p w14:paraId="623854D6" w14:textId="3FDF4DF6" w:rsidR="00206520" w:rsidRPr="00206520" w:rsidRDefault="00206520" w:rsidP="00206520">
      <w:pPr>
        <w:pStyle w:val="NormalWeb"/>
        <w:spacing w:line="300" w:lineRule="atLeast"/>
        <w:jc w:val="both"/>
        <w:rPr>
          <w:rFonts w:ascii="Century Gothic" w:hAnsi="Century Gothic" w:cs="Segoe UI"/>
        </w:rPr>
      </w:pPr>
      <w:r w:rsidRPr="00206520">
        <w:rPr>
          <w:rFonts w:ascii="Century Gothic" w:hAnsi="Century Gothic" w:cs="Segoe UI"/>
        </w:rPr>
        <w:t>To deliver high-quality, trauma</w:t>
      </w:r>
      <w:r w:rsidRPr="00206520">
        <w:rPr>
          <w:rFonts w:ascii="Century Gothic" w:hAnsi="Century Gothic" w:cs="Segoe UI"/>
        </w:rPr>
        <w:noBreakHyphen/>
        <w:t>informed teaching and pastoral support to pupils with Social, Emotional and Mental Health (SEMH) needs in a PRU</w:t>
      </w:r>
      <w:r w:rsidRPr="00206520">
        <w:rPr>
          <w:rFonts w:ascii="Century Gothic" w:hAnsi="Century Gothic" w:cs="Segoe UI"/>
        </w:rPr>
        <w:t xml:space="preserve"> and</w:t>
      </w:r>
      <w:r w:rsidRPr="00206520">
        <w:rPr>
          <w:rFonts w:ascii="Century Gothic" w:hAnsi="Century Gothic" w:cs="Segoe UI"/>
        </w:rPr>
        <w:t xml:space="preserve"> SEMH Special Primary setting. The role focuses on building safe, structured and relational environments that support academic progress, emotional regulation, communication, behaviour development and personal growth.</w:t>
      </w:r>
      <w:r w:rsidRPr="00206520">
        <w:rPr>
          <w:rFonts w:ascii="Century Gothic" w:hAnsi="Century Gothic" w:cs="Segoe UI"/>
        </w:rPr>
        <w:t xml:space="preserve"> This is underpinned by Nurture and Rights Respecting practice.</w:t>
      </w:r>
    </w:p>
    <w:p w14:paraId="261B71C2" w14:textId="77777777" w:rsidR="00206520" w:rsidRPr="00206520" w:rsidRDefault="00206520" w:rsidP="00206520">
      <w:pPr>
        <w:pStyle w:val="NormalWeb"/>
        <w:spacing w:line="300" w:lineRule="atLeast"/>
        <w:jc w:val="both"/>
        <w:rPr>
          <w:rFonts w:ascii="Century Gothic" w:hAnsi="Century Gothic" w:cs="Segoe UI"/>
        </w:rPr>
      </w:pPr>
      <w:r w:rsidRPr="00206520">
        <w:rPr>
          <w:rFonts w:ascii="Century Gothic" w:hAnsi="Century Gothic" w:cs="Segoe UI"/>
        </w:rPr>
        <w:t>You will work as part of a multi-disciplinary team to ensure pupils receive a balanced and holistic curriculum that addresses emotional well-being, communication needs, academic gaps, sensory needs and behaviour regulation.</w:t>
      </w:r>
    </w:p>
    <w:p w14:paraId="05E7D50E" w14:textId="77777777" w:rsidR="00206520" w:rsidRPr="00206520" w:rsidRDefault="00206520" w:rsidP="00206520">
      <w:pPr>
        <w:pStyle w:val="Heading1"/>
        <w:spacing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Style w:val="Strong"/>
          <w:rFonts w:ascii="Century Gothic" w:hAnsi="Century Gothic" w:cs="Segoe UI"/>
          <w:b w:val="0"/>
          <w:bCs w:val="0"/>
          <w:sz w:val="24"/>
          <w:szCs w:val="24"/>
        </w:rPr>
        <w:t>Key Responsibilities</w:t>
      </w:r>
    </w:p>
    <w:p w14:paraId="29E528B1" w14:textId="77777777" w:rsidR="00206520" w:rsidRPr="00206520" w:rsidRDefault="00206520" w:rsidP="00206520">
      <w:pPr>
        <w:pStyle w:val="Heading2"/>
        <w:spacing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Style w:val="Strong"/>
          <w:rFonts w:ascii="Century Gothic" w:eastAsiaTheme="majorEastAsia" w:hAnsi="Century Gothic" w:cs="Segoe UI"/>
          <w:b/>
          <w:bCs/>
          <w:sz w:val="24"/>
          <w:szCs w:val="24"/>
        </w:rPr>
        <w:t>1. Teaching &amp; Curriculum</w:t>
      </w:r>
    </w:p>
    <w:p w14:paraId="5756E764" w14:textId="77777777" w:rsidR="00206520" w:rsidRPr="00206520" w:rsidRDefault="00206520" w:rsidP="00206520">
      <w:pPr>
        <w:numPr>
          <w:ilvl w:val="0"/>
          <w:numId w:val="12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Plan and deliver a personalised, engaging curriculum that meets pupils’ SEMH, communication and academic needs.</w:t>
      </w:r>
    </w:p>
    <w:p w14:paraId="3BF7C00B" w14:textId="77777777" w:rsidR="00206520" w:rsidRPr="00206520" w:rsidRDefault="00206520" w:rsidP="00206520">
      <w:pPr>
        <w:numPr>
          <w:ilvl w:val="0"/>
          <w:numId w:val="12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Use trauma</w:t>
      </w:r>
      <w:r w:rsidRPr="00206520">
        <w:rPr>
          <w:rFonts w:ascii="Century Gothic" w:hAnsi="Century Gothic" w:cs="Segoe UI"/>
          <w:sz w:val="24"/>
          <w:szCs w:val="24"/>
        </w:rPr>
        <w:noBreakHyphen/>
        <w:t>informed, attachment</w:t>
      </w:r>
      <w:r w:rsidRPr="00206520">
        <w:rPr>
          <w:rFonts w:ascii="Century Gothic" w:hAnsi="Century Gothic" w:cs="Segoe UI"/>
          <w:sz w:val="24"/>
          <w:szCs w:val="24"/>
        </w:rPr>
        <w:noBreakHyphen/>
        <w:t>aware, and relational approaches throughout all teaching.</w:t>
      </w:r>
    </w:p>
    <w:p w14:paraId="2A8F423C" w14:textId="77777777" w:rsidR="00206520" w:rsidRPr="00206520" w:rsidRDefault="00206520" w:rsidP="00206520">
      <w:pPr>
        <w:numPr>
          <w:ilvl w:val="0"/>
          <w:numId w:val="12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Embed communication, sensory regulation, emotional literacy, and life skills within daily learning.</w:t>
      </w:r>
    </w:p>
    <w:p w14:paraId="54ECC246" w14:textId="641643B0" w:rsidR="00206520" w:rsidRPr="00206520" w:rsidRDefault="00206520" w:rsidP="00206520">
      <w:pPr>
        <w:numPr>
          <w:ilvl w:val="0"/>
          <w:numId w:val="12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Use small-step assessment frameworks (e.g., Boxall, Engagement Model,</w:t>
      </w:r>
      <w:r w:rsidRPr="00206520">
        <w:rPr>
          <w:rFonts w:ascii="Century Gothic" w:hAnsi="Century Gothic" w:cs="Segoe UI"/>
          <w:sz w:val="24"/>
          <w:szCs w:val="24"/>
        </w:rPr>
        <w:t xml:space="preserve"> Learn Trek</w:t>
      </w:r>
      <w:r w:rsidRPr="00206520">
        <w:rPr>
          <w:rFonts w:ascii="Century Gothic" w:hAnsi="Century Gothic" w:cs="Segoe UI"/>
          <w:sz w:val="24"/>
          <w:szCs w:val="24"/>
        </w:rPr>
        <w:t>) and link targets to EHCP outcomes.</w:t>
      </w:r>
    </w:p>
    <w:p w14:paraId="19E5E667" w14:textId="6E3C9F6D" w:rsidR="00206520" w:rsidRPr="00206520" w:rsidRDefault="00206520" w:rsidP="00206520">
      <w:pPr>
        <w:numPr>
          <w:ilvl w:val="0"/>
          <w:numId w:val="12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Provide highly adaptive teaching using structure, visual supports, scaffolds, routines, sensory tools, and hands-on learning.</w:t>
      </w:r>
      <w:r w:rsidRPr="00206520">
        <w:rPr>
          <w:rFonts w:ascii="Century Gothic" w:hAnsi="Century Gothic" w:cs="Segoe UI"/>
          <w:sz w:val="24"/>
          <w:szCs w:val="24"/>
        </w:rPr>
        <w:t xml:space="preserve"> (</w:t>
      </w:r>
      <w:proofErr w:type="spellStart"/>
      <w:r w:rsidRPr="00206520">
        <w:rPr>
          <w:rFonts w:ascii="Century Gothic" w:hAnsi="Century Gothic" w:cs="Segoe UI"/>
          <w:sz w:val="24"/>
          <w:szCs w:val="24"/>
        </w:rPr>
        <w:t>Elklan</w:t>
      </w:r>
      <w:proofErr w:type="spellEnd"/>
      <w:r w:rsidRPr="00206520">
        <w:rPr>
          <w:rFonts w:ascii="Century Gothic" w:hAnsi="Century Gothic" w:cs="Segoe UI"/>
          <w:sz w:val="24"/>
          <w:szCs w:val="24"/>
        </w:rPr>
        <w:t xml:space="preserve"> Approaches)</w:t>
      </w:r>
    </w:p>
    <w:p w14:paraId="23C4B145" w14:textId="77777777" w:rsidR="00206520" w:rsidRPr="00206520" w:rsidRDefault="00206520" w:rsidP="00206520">
      <w:pPr>
        <w:numPr>
          <w:ilvl w:val="0"/>
          <w:numId w:val="12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In PRU contexts: support reintegration, transition planning, and short-term intensive catch-up learning.</w:t>
      </w:r>
    </w:p>
    <w:p w14:paraId="4BD17237" w14:textId="77777777" w:rsidR="00206520" w:rsidRPr="00206520" w:rsidRDefault="00206520" w:rsidP="00206520">
      <w:pPr>
        <w:numPr>
          <w:ilvl w:val="0"/>
          <w:numId w:val="12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In Special School contexts: deliver therapeutic curriculum elements including SALT/OT programmes and regulation cycles.</w:t>
      </w:r>
    </w:p>
    <w:p w14:paraId="3D179321" w14:textId="77777777" w:rsidR="00206520" w:rsidRPr="00206520" w:rsidRDefault="00206520" w:rsidP="00206520">
      <w:pPr>
        <w:pStyle w:val="Heading2"/>
        <w:spacing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Style w:val="Strong"/>
          <w:rFonts w:ascii="Century Gothic" w:eastAsiaTheme="majorEastAsia" w:hAnsi="Century Gothic" w:cs="Segoe UI"/>
          <w:b/>
          <w:bCs/>
          <w:sz w:val="24"/>
          <w:szCs w:val="24"/>
        </w:rPr>
        <w:t>2. Behaviour, SEMH &amp; Pastoral Support</w:t>
      </w:r>
    </w:p>
    <w:p w14:paraId="4C742916" w14:textId="77777777" w:rsidR="00206520" w:rsidRPr="00206520" w:rsidRDefault="00206520" w:rsidP="00206520">
      <w:pPr>
        <w:numPr>
          <w:ilvl w:val="0"/>
          <w:numId w:val="13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Implement consistent routines using relational practice, co-regulation, restorative approaches, and predictable adult responses.</w:t>
      </w:r>
    </w:p>
    <w:p w14:paraId="1F591181" w14:textId="77777777" w:rsidR="00206520" w:rsidRPr="00206520" w:rsidRDefault="00206520" w:rsidP="00206520">
      <w:pPr>
        <w:numPr>
          <w:ilvl w:val="0"/>
          <w:numId w:val="13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Develop and review personalised regulation plans, risk assessments and behaviour support plans.</w:t>
      </w:r>
    </w:p>
    <w:p w14:paraId="3701338B" w14:textId="77777777" w:rsidR="00206520" w:rsidRPr="00206520" w:rsidRDefault="00206520" w:rsidP="00206520">
      <w:pPr>
        <w:numPr>
          <w:ilvl w:val="0"/>
          <w:numId w:val="13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lastRenderedPageBreak/>
        <w:t>Model calm, attuned, and therapeutic language at all times.</w:t>
      </w:r>
    </w:p>
    <w:p w14:paraId="44231F62" w14:textId="77777777" w:rsidR="00206520" w:rsidRPr="00206520" w:rsidRDefault="00206520" w:rsidP="00206520">
      <w:pPr>
        <w:numPr>
          <w:ilvl w:val="0"/>
          <w:numId w:val="13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Use proactive and responsive regulation strategies (sensory, relational, environmental).</w:t>
      </w:r>
    </w:p>
    <w:p w14:paraId="1277BBCF" w14:textId="77777777" w:rsidR="00206520" w:rsidRPr="00206520" w:rsidRDefault="00206520" w:rsidP="00206520">
      <w:pPr>
        <w:numPr>
          <w:ilvl w:val="0"/>
          <w:numId w:val="13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Support pupils with behaviour that challenges, maintaining dignity and emotional safety.</w:t>
      </w:r>
    </w:p>
    <w:p w14:paraId="166CB970" w14:textId="77777777" w:rsidR="00206520" w:rsidRPr="00206520" w:rsidRDefault="00206520" w:rsidP="00206520">
      <w:pPr>
        <w:numPr>
          <w:ilvl w:val="0"/>
          <w:numId w:val="13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Collaborate with pastoral, therapeutic and safeguarding staff in multi-agency teams.</w:t>
      </w:r>
    </w:p>
    <w:p w14:paraId="6412AADE" w14:textId="77777777" w:rsidR="00206520" w:rsidRPr="00206520" w:rsidRDefault="00206520" w:rsidP="00206520">
      <w:pPr>
        <w:pStyle w:val="Heading2"/>
        <w:spacing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Style w:val="Strong"/>
          <w:rFonts w:ascii="Century Gothic" w:eastAsiaTheme="majorEastAsia" w:hAnsi="Century Gothic" w:cs="Segoe UI"/>
          <w:b/>
          <w:bCs/>
          <w:sz w:val="24"/>
          <w:szCs w:val="24"/>
        </w:rPr>
        <w:t>3. Safeguarding &amp; Welfare</w:t>
      </w:r>
    </w:p>
    <w:p w14:paraId="3B31F4CB" w14:textId="77777777" w:rsidR="00206520" w:rsidRPr="00206520" w:rsidRDefault="00206520" w:rsidP="00206520">
      <w:pPr>
        <w:numPr>
          <w:ilvl w:val="0"/>
          <w:numId w:val="14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Maintain a child</w:t>
      </w:r>
      <w:r w:rsidRPr="00206520">
        <w:rPr>
          <w:rFonts w:ascii="Century Gothic" w:hAnsi="Century Gothic" w:cs="Segoe UI"/>
          <w:sz w:val="24"/>
          <w:szCs w:val="24"/>
        </w:rPr>
        <w:noBreakHyphen/>
        <w:t>centred approach and uphold statutory safeguarding duties.</w:t>
      </w:r>
    </w:p>
    <w:p w14:paraId="0688EA0A" w14:textId="77777777" w:rsidR="00206520" w:rsidRPr="00206520" w:rsidRDefault="00206520" w:rsidP="00206520">
      <w:pPr>
        <w:numPr>
          <w:ilvl w:val="0"/>
          <w:numId w:val="14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Recognise and report signs of childhood adversity, neglect, exploitation and vulnerability.</w:t>
      </w:r>
    </w:p>
    <w:p w14:paraId="4D873063" w14:textId="77777777" w:rsidR="00206520" w:rsidRPr="00206520" w:rsidRDefault="00206520" w:rsidP="00206520">
      <w:pPr>
        <w:numPr>
          <w:ilvl w:val="0"/>
          <w:numId w:val="14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Ensure accurate, secure and timely recording of concerns, incidents and interventions.</w:t>
      </w:r>
    </w:p>
    <w:p w14:paraId="56582CFD" w14:textId="77777777" w:rsidR="00206520" w:rsidRPr="00206520" w:rsidRDefault="00206520" w:rsidP="00206520">
      <w:pPr>
        <w:numPr>
          <w:ilvl w:val="0"/>
          <w:numId w:val="14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Work closely with the DSL and follow all safeguarding, behaviour, and online safety procedures.</w:t>
      </w:r>
    </w:p>
    <w:p w14:paraId="0FC2DCC0" w14:textId="77777777" w:rsidR="00206520" w:rsidRPr="00206520" w:rsidRDefault="00206520" w:rsidP="00206520">
      <w:pPr>
        <w:pStyle w:val="Heading2"/>
        <w:spacing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Style w:val="Strong"/>
          <w:rFonts w:ascii="Century Gothic" w:eastAsiaTheme="majorEastAsia" w:hAnsi="Century Gothic" w:cs="Segoe UI"/>
          <w:b/>
          <w:bCs/>
          <w:sz w:val="24"/>
          <w:szCs w:val="24"/>
        </w:rPr>
        <w:t>4. Partnerships &amp; Communication</w:t>
      </w:r>
    </w:p>
    <w:p w14:paraId="419B685F" w14:textId="77777777" w:rsidR="00206520" w:rsidRPr="00206520" w:rsidRDefault="00206520" w:rsidP="00206520">
      <w:pPr>
        <w:numPr>
          <w:ilvl w:val="0"/>
          <w:numId w:val="15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Work collaboratively with families, recognising their expertise and co</w:t>
      </w:r>
      <w:r w:rsidRPr="00206520">
        <w:rPr>
          <w:rFonts w:ascii="Century Gothic" w:hAnsi="Century Gothic" w:cs="Segoe UI"/>
          <w:sz w:val="24"/>
          <w:szCs w:val="24"/>
        </w:rPr>
        <w:noBreakHyphen/>
        <w:t>producing strategies.</w:t>
      </w:r>
    </w:p>
    <w:p w14:paraId="01FFEE51" w14:textId="77777777" w:rsidR="00206520" w:rsidRPr="00206520" w:rsidRDefault="00206520" w:rsidP="00206520">
      <w:pPr>
        <w:numPr>
          <w:ilvl w:val="0"/>
          <w:numId w:val="15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Communicate sensitively and professionally with parents/carers and external professionals.</w:t>
      </w:r>
    </w:p>
    <w:p w14:paraId="526638D2" w14:textId="77777777" w:rsidR="00206520" w:rsidRPr="00206520" w:rsidRDefault="00206520" w:rsidP="00206520">
      <w:pPr>
        <w:numPr>
          <w:ilvl w:val="0"/>
          <w:numId w:val="15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Contribute to EHCP reviews, multi-agency meetings, and reintegration/transition processes.</w:t>
      </w:r>
    </w:p>
    <w:p w14:paraId="369EAE41" w14:textId="77777777" w:rsidR="00206520" w:rsidRPr="00206520" w:rsidRDefault="00206520" w:rsidP="00206520">
      <w:pPr>
        <w:numPr>
          <w:ilvl w:val="0"/>
          <w:numId w:val="15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Support modelling and development of support staff within the class team.</w:t>
      </w:r>
    </w:p>
    <w:p w14:paraId="008FB58E" w14:textId="77777777" w:rsidR="00206520" w:rsidRPr="00206520" w:rsidRDefault="00206520" w:rsidP="00206520">
      <w:pPr>
        <w:pStyle w:val="Heading2"/>
        <w:spacing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Style w:val="Strong"/>
          <w:rFonts w:ascii="Century Gothic" w:eastAsiaTheme="majorEastAsia" w:hAnsi="Century Gothic" w:cs="Segoe UI"/>
          <w:b/>
          <w:bCs/>
          <w:sz w:val="24"/>
          <w:szCs w:val="24"/>
        </w:rPr>
        <w:t>5. Professional Development &amp; Contribution to School Improvement</w:t>
      </w:r>
    </w:p>
    <w:p w14:paraId="2434B612" w14:textId="77777777" w:rsidR="00206520" w:rsidRPr="00206520" w:rsidRDefault="00206520" w:rsidP="00206520">
      <w:pPr>
        <w:numPr>
          <w:ilvl w:val="0"/>
          <w:numId w:val="16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Engage in SEMH-focused CPD (trauma-informed practice, communication approaches, team teach/positive handling).</w:t>
      </w:r>
    </w:p>
    <w:p w14:paraId="15398DD6" w14:textId="77777777" w:rsidR="00206520" w:rsidRPr="00206520" w:rsidRDefault="00206520" w:rsidP="00206520">
      <w:pPr>
        <w:numPr>
          <w:ilvl w:val="0"/>
          <w:numId w:val="16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Participate in supervision, reflective practice sessions, and team briefings.</w:t>
      </w:r>
    </w:p>
    <w:p w14:paraId="5C02F9AF" w14:textId="77777777" w:rsidR="00206520" w:rsidRPr="00206520" w:rsidRDefault="00206520" w:rsidP="00206520">
      <w:pPr>
        <w:numPr>
          <w:ilvl w:val="0"/>
          <w:numId w:val="16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Contribute to whole</w:t>
      </w:r>
      <w:r w:rsidRPr="00206520">
        <w:rPr>
          <w:rFonts w:ascii="Century Gothic" w:hAnsi="Century Gothic" w:cs="Segoe UI"/>
          <w:sz w:val="24"/>
          <w:szCs w:val="24"/>
        </w:rPr>
        <w:noBreakHyphen/>
        <w:t>school/centre initiatives, enrichment and culture building.</w:t>
      </w:r>
    </w:p>
    <w:p w14:paraId="793193D6" w14:textId="77777777" w:rsidR="00206520" w:rsidRPr="00206520" w:rsidRDefault="00206520" w:rsidP="00206520">
      <w:pPr>
        <w:numPr>
          <w:ilvl w:val="0"/>
          <w:numId w:val="16"/>
        </w:numPr>
        <w:spacing w:before="100" w:beforeAutospacing="1" w:after="100" w:afterAutospacing="1"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Fonts w:ascii="Century Gothic" w:hAnsi="Century Gothic" w:cs="Segoe UI"/>
          <w:sz w:val="24"/>
          <w:szCs w:val="24"/>
        </w:rPr>
        <w:t>Reflect on teaching practice and engage in coaching/mentoring where appropriate.</w:t>
      </w:r>
    </w:p>
    <w:p w14:paraId="32EDB011" w14:textId="77777777" w:rsidR="00206520" w:rsidRPr="00206520" w:rsidRDefault="00206520" w:rsidP="00206520">
      <w:pPr>
        <w:jc w:val="both"/>
        <w:rPr>
          <w:rStyle w:val="Strong"/>
          <w:rFonts w:ascii="Century Gothic" w:eastAsiaTheme="majorEastAsia" w:hAnsi="Century Gothic" w:cs="Segoe UI"/>
          <w:b w:val="0"/>
          <w:bCs w:val="0"/>
          <w:color w:val="2F5496" w:themeColor="accent1" w:themeShade="BF"/>
          <w:sz w:val="24"/>
          <w:szCs w:val="24"/>
        </w:rPr>
      </w:pPr>
      <w:r w:rsidRPr="00206520">
        <w:rPr>
          <w:rStyle w:val="Strong"/>
          <w:rFonts w:ascii="Century Gothic" w:hAnsi="Century Gothic" w:cs="Segoe UI"/>
          <w:b w:val="0"/>
          <w:bCs w:val="0"/>
          <w:sz w:val="24"/>
          <w:szCs w:val="24"/>
        </w:rPr>
        <w:br w:type="page"/>
      </w:r>
    </w:p>
    <w:p w14:paraId="7E01786B" w14:textId="536709BE" w:rsidR="00206520" w:rsidRPr="00206520" w:rsidRDefault="00206520" w:rsidP="00206520">
      <w:pPr>
        <w:pStyle w:val="Heading1"/>
        <w:spacing w:line="300" w:lineRule="atLeast"/>
        <w:jc w:val="both"/>
        <w:rPr>
          <w:rFonts w:ascii="Century Gothic" w:hAnsi="Century Gothic" w:cs="Segoe UI"/>
          <w:sz w:val="24"/>
          <w:szCs w:val="24"/>
        </w:rPr>
      </w:pPr>
      <w:r w:rsidRPr="00206520">
        <w:rPr>
          <w:rStyle w:val="Strong"/>
          <w:rFonts w:ascii="Century Gothic" w:hAnsi="Century Gothic" w:cs="Segoe UI"/>
          <w:b w:val="0"/>
          <w:bCs w:val="0"/>
          <w:sz w:val="24"/>
          <w:szCs w:val="24"/>
        </w:rPr>
        <w:lastRenderedPageBreak/>
        <w:t>Person Specification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3615"/>
        <w:gridCol w:w="3270"/>
      </w:tblGrid>
      <w:tr w:rsidR="00206520" w:rsidRPr="00206520" w14:paraId="1E51F094" w14:textId="77777777" w:rsidTr="002065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9758E7E" w14:textId="77777777" w:rsidR="00206520" w:rsidRPr="00206520" w:rsidRDefault="00206520" w:rsidP="00206520">
            <w:pPr>
              <w:jc w:val="both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206520">
              <w:rPr>
                <w:rStyle w:val="Strong"/>
                <w:rFonts w:ascii="Century Gothic" w:hAnsi="Century Gothic"/>
                <w:sz w:val="24"/>
                <w:szCs w:val="24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DE847B9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06520">
              <w:rPr>
                <w:rStyle w:val="Strong"/>
                <w:rFonts w:ascii="Century Gothic" w:hAnsi="Century Gothic"/>
                <w:sz w:val="24"/>
                <w:szCs w:val="24"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31456C7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06520">
              <w:rPr>
                <w:rStyle w:val="Strong"/>
                <w:rFonts w:ascii="Century Gothic" w:hAnsi="Century Gothic"/>
                <w:sz w:val="24"/>
                <w:szCs w:val="24"/>
              </w:rPr>
              <w:t>Desirable</w:t>
            </w:r>
          </w:p>
        </w:tc>
      </w:tr>
      <w:tr w:rsidR="00206520" w:rsidRPr="00206520" w14:paraId="15B07C32" w14:textId="77777777" w:rsidTr="0020652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8720E7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Style w:val="Strong"/>
                <w:rFonts w:ascii="Century Gothic" w:hAnsi="Century Gothic"/>
                <w:sz w:val="24"/>
                <w:szCs w:val="24"/>
              </w:rPr>
              <w:t>Qualifications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060E2C" w14:textId="7FCB53CF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Fonts w:ascii="Century Gothic" w:hAnsi="Century Gothic"/>
                <w:sz w:val="24"/>
                <w:szCs w:val="24"/>
              </w:rPr>
              <w:t>QTS commitment to ongoing CPD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5A4FB4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Fonts w:ascii="Century Gothic" w:hAnsi="Century Gothic"/>
                <w:sz w:val="24"/>
                <w:szCs w:val="24"/>
              </w:rPr>
              <w:t>SEN qualifications; NASENCO; therapeutic or SEMH training; Team Teach</w:t>
            </w:r>
          </w:p>
        </w:tc>
      </w:tr>
      <w:tr w:rsidR="00206520" w:rsidRPr="00206520" w14:paraId="44A714AB" w14:textId="77777777" w:rsidTr="0020652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993F71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Style w:val="Strong"/>
                <w:rFonts w:ascii="Century Gothic" w:hAnsi="Century Gothic"/>
                <w:sz w:val="24"/>
                <w:szCs w:val="24"/>
              </w:rPr>
              <w:t>Experience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238B25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Fonts w:ascii="Century Gothic" w:hAnsi="Century Gothic"/>
                <w:sz w:val="24"/>
                <w:szCs w:val="24"/>
              </w:rPr>
              <w:t>Teaching pupils with SEMH/SEND needs; ability to de</w:t>
            </w:r>
            <w:r w:rsidRPr="00206520">
              <w:rPr>
                <w:rFonts w:ascii="Century Gothic" w:hAnsi="Century Gothic"/>
                <w:sz w:val="24"/>
                <w:szCs w:val="24"/>
              </w:rPr>
              <w:noBreakHyphen/>
              <w:t>escalate and co-regulate; experience of adaptive teaching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9DF405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Fonts w:ascii="Century Gothic" w:hAnsi="Century Gothic"/>
                <w:sz w:val="24"/>
                <w:szCs w:val="24"/>
              </w:rPr>
              <w:t>Experience in PRU/Alternative Provision; Special School experience; multi-agency work</w:t>
            </w:r>
          </w:p>
        </w:tc>
      </w:tr>
      <w:tr w:rsidR="00206520" w:rsidRPr="00206520" w14:paraId="16000E04" w14:textId="77777777" w:rsidTr="0020652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D0CE71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Style w:val="Strong"/>
                <w:rFonts w:ascii="Century Gothic" w:hAnsi="Century Gothic"/>
                <w:sz w:val="24"/>
                <w:szCs w:val="24"/>
              </w:rPr>
              <w:t>Knowledge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8CBB96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Fonts w:ascii="Century Gothic" w:hAnsi="Century Gothic"/>
                <w:sz w:val="24"/>
                <w:szCs w:val="24"/>
              </w:rPr>
              <w:t>Trauma-informed, attachment-aware, and restorative practices; child development; safeguarding; primary curriculum; behaviour support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0550F7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Fonts w:ascii="Century Gothic" w:hAnsi="Century Gothic"/>
                <w:sz w:val="24"/>
                <w:szCs w:val="24"/>
              </w:rPr>
              <w:t>Knowledge of sensory processing; SALT/OT approaches; reintegration pathways; EHCP processes</w:t>
            </w:r>
          </w:p>
        </w:tc>
      </w:tr>
      <w:tr w:rsidR="00206520" w:rsidRPr="00206520" w14:paraId="702747AA" w14:textId="77777777" w:rsidTr="0020652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2673B7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Style w:val="Strong"/>
                <w:rFonts w:ascii="Century Gothic" w:hAnsi="Century Gothic"/>
                <w:sz w:val="24"/>
                <w:szCs w:val="24"/>
              </w:rPr>
              <w:t>Teaching Skills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31F92A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Fonts w:ascii="Century Gothic" w:hAnsi="Century Gothic"/>
                <w:sz w:val="24"/>
                <w:szCs w:val="24"/>
              </w:rPr>
              <w:t>Ability to deliver personalised curriculum; strong scaffolding and differentiation; visuals and structured teaching; use of assessment to track small steps of progress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30973F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Fonts w:ascii="Century Gothic" w:hAnsi="Century Gothic"/>
                <w:sz w:val="24"/>
                <w:szCs w:val="24"/>
              </w:rPr>
              <w:t>Experience with therapeutic/holistic curriculums; engagement model/B-Squared; outdoor learning</w:t>
            </w:r>
          </w:p>
        </w:tc>
      </w:tr>
      <w:tr w:rsidR="00206520" w:rsidRPr="00206520" w14:paraId="1D9B7599" w14:textId="77777777" w:rsidTr="0020652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F547A9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Style w:val="Strong"/>
                <w:rFonts w:ascii="Century Gothic" w:hAnsi="Century Gothic"/>
                <w:sz w:val="24"/>
                <w:szCs w:val="24"/>
              </w:rPr>
              <w:t>Behaviour &amp; SEMH Practice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CADE76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Fonts w:ascii="Century Gothic" w:hAnsi="Century Gothic"/>
                <w:sz w:val="24"/>
                <w:szCs w:val="24"/>
              </w:rPr>
              <w:t>Skilled in co</w:t>
            </w:r>
            <w:r w:rsidRPr="00206520">
              <w:rPr>
                <w:rFonts w:ascii="Century Gothic" w:hAnsi="Century Gothic"/>
                <w:sz w:val="24"/>
                <w:szCs w:val="24"/>
              </w:rPr>
              <w:noBreakHyphen/>
              <w:t>regulation, low-arousal approaches, de-escalation, and relational practice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C513F5" w14:textId="366C45FA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Fonts w:ascii="Century Gothic" w:hAnsi="Century Gothic"/>
                <w:sz w:val="24"/>
                <w:szCs w:val="24"/>
              </w:rPr>
              <w:t>Training in Emotion Coaching, Zones of Regulation, Thrive</w:t>
            </w:r>
          </w:p>
        </w:tc>
      </w:tr>
      <w:tr w:rsidR="00206520" w:rsidRPr="00206520" w14:paraId="39A2B0D8" w14:textId="77777777" w:rsidTr="0020652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FB2F05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Style w:val="Strong"/>
                <w:rFonts w:ascii="Century Gothic" w:hAnsi="Century Gothic"/>
                <w:sz w:val="24"/>
                <w:szCs w:val="24"/>
              </w:rPr>
              <w:t>Communication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47B4C0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Fonts w:ascii="Century Gothic" w:hAnsi="Century Gothic"/>
                <w:sz w:val="24"/>
                <w:szCs w:val="24"/>
              </w:rPr>
              <w:t>Clear, sensitive communication with pupils, families, and professionals; consistent professional written reports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EDECCF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Fonts w:ascii="Century Gothic" w:hAnsi="Century Gothic"/>
                <w:sz w:val="24"/>
                <w:szCs w:val="24"/>
              </w:rPr>
              <w:t>Experience leading meetings or delivering professional development</w:t>
            </w:r>
          </w:p>
        </w:tc>
      </w:tr>
      <w:tr w:rsidR="00206520" w:rsidRPr="00206520" w14:paraId="798AB83D" w14:textId="77777777" w:rsidTr="0020652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671AAC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Style w:val="Strong"/>
                <w:rFonts w:ascii="Century Gothic" w:hAnsi="Century Gothic"/>
                <w:sz w:val="24"/>
                <w:szCs w:val="24"/>
              </w:rPr>
              <w:t>Personal Qualities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7707E8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Fonts w:ascii="Century Gothic" w:hAnsi="Century Gothic"/>
                <w:sz w:val="24"/>
                <w:szCs w:val="24"/>
              </w:rPr>
              <w:t>Resilient, nurturing, reflective, emotionally regulated, and values-driven; high expectations and unconditional positive regard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773DCE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Fonts w:ascii="Century Gothic" w:hAnsi="Century Gothic"/>
                <w:sz w:val="24"/>
                <w:szCs w:val="24"/>
              </w:rPr>
              <w:t>Creativity in curriculum design; proactive problem solving</w:t>
            </w:r>
          </w:p>
        </w:tc>
      </w:tr>
      <w:tr w:rsidR="00206520" w:rsidRPr="00206520" w14:paraId="72D409EE" w14:textId="77777777" w:rsidTr="0020652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CAE309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Style w:val="Strong"/>
                <w:rFonts w:ascii="Century Gothic" w:hAnsi="Century Gothic"/>
                <w:sz w:val="24"/>
                <w:szCs w:val="24"/>
              </w:rPr>
              <w:lastRenderedPageBreak/>
              <w:t>Safeguarding &amp; Compliance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74C4C8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Fonts w:ascii="Century Gothic" w:hAnsi="Century Gothic"/>
                <w:sz w:val="24"/>
                <w:szCs w:val="24"/>
              </w:rPr>
              <w:t>Understanding of and ability to follow KCSIE, safeguarding policy, GDPR expectations, and accurate record keeping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AE17CE" w14:textId="77777777" w:rsidR="00206520" w:rsidRPr="00206520" w:rsidRDefault="00206520" w:rsidP="0020652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06520">
              <w:rPr>
                <w:rFonts w:ascii="Century Gothic" w:hAnsi="Century Gothic"/>
                <w:sz w:val="24"/>
                <w:szCs w:val="24"/>
              </w:rPr>
              <w:t>DSL training; experience contributing to safeguarding audits/policy</w:t>
            </w:r>
          </w:p>
        </w:tc>
      </w:tr>
    </w:tbl>
    <w:p w14:paraId="77645B39" w14:textId="77777777" w:rsidR="002F48B8" w:rsidRPr="00206520" w:rsidRDefault="002F48B8" w:rsidP="00206520">
      <w:pPr>
        <w:jc w:val="both"/>
        <w:rPr>
          <w:rFonts w:ascii="Century Gothic" w:hAnsi="Century Gothic"/>
          <w:sz w:val="24"/>
          <w:szCs w:val="24"/>
        </w:rPr>
      </w:pPr>
    </w:p>
    <w:sectPr w:rsidR="002F48B8" w:rsidRPr="00206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49E5"/>
    <w:multiLevelType w:val="multilevel"/>
    <w:tmpl w:val="3412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425F3"/>
    <w:multiLevelType w:val="multilevel"/>
    <w:tmpl w:val="176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D3F2B"/>
    <w:multiLevelType w:val="multilevel"/>
    <w:tmpl w:val="3BBC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1307B"/>
    <w:multiLevelType w:val="multilevel"/>
    <w:tmpl w:val="120A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A76ED"/>
    <w:multiLevelType w:val="multilevel"/>
    <w:tmpl w:val="871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6078F"/>
    <w:multiLevelType w:val="multilevel"/>
    <w:tmpl w:val="33EA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652D4"/>
    <w:multiLevelType w:val="multilevel"/>
    <w:tmpl w:val="AB1A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CC4CE6"/>
    <w:multiLevelType w:val="multilevel"/>
    <w:tmpl w:val="BE4E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64563"/>
    <w:multiLevelType w:val="multilevel"/>
    <w:tmpl w:val="45D4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A26008"/>
    <w:multiLevelType w:val="multilevel"/>
    <w:tmpl w:val="BAC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331B2"/>
    <w:multiLevelType w:val="multilevel"/>
    <w:tmpl w:val="57F0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747A53"/>
    <w:multiLevelType w:val="multilevel"/>
    <w:tmpl w:val="4BFC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9B7449"/>
    <w:multiLevelType w:val="multilevel"/>
    <w:tmpl w:val="DD70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503C44"/>
    <w:multiLevelType w:val="multilevel"/>
    <w:tmpl w:val="8810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A201B8"/>
    <w:multiLevelType w:val="multilevel"/>
    <w:tmpl w:val="31EC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8D2E76"/>
    <w:multiLevelType w:val="multilevel"/>
    <w:tmpl w:val="5560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4517ED"/>
    <w:multiLevelType w:val="multilevel"/>
    <w:tmpl w:val="1714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6"/>
  </w:num>
  <w:num w:numId="5">
    <w:abstractNumId w:val="5"/>
  </w:num>
  <w:num w:numId="6">
    <w:abstractNumId w:val="10"/>
  </w:num>
  <w:num w:numId="7">
    <w:abstractNumId w:val="15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  <w:num w:numId="12">
    <w:abstractNumId w:val="0"/>
  </w:num>
  <w:num w:numId="13">
    <w:abstractNumId w:val="13"/>
  </w:num>
  <w:num w:numId="14">
    <w:abstractNumId w:val="2"/>
  </w:num>
  <w:num w:numId="15">
    <w:abstractNumId w:val="9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20"/>
    <w:rsid w:val="00206520"/>
    <w:rsid w:val="002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C885B"/>
  <w15:chartTrackingRefBased/>
  <w15:docId w15:val="{2EBDF89A-D326-4812-B25C-CEFA3A8B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5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065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065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652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0652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0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0652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06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2065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Eyre</dc:creator>
  <cp:keywords/>
  <dc:description/>
  <cp:lastModifiedBy>K Eyre</cp:lastModifiedBy>
  <cp:revision>1</cp:revision>
  <dcterms:created xsi:type="dcterms:W3CDTF">2026-03-18T09:24:00Z</dcterms:created>
  <dcterms:modified xsi:type="dcterms:W3CDTF">2026-03-18T09:34:00Z</dcterms:modified>
</cp:coreProperties>
</file>