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t>g</w:t>
      </w:r>
    </w:p>
    <w:tbl>
      <w:tblPr>
        <w:tblW w:w="5000" w:type="pct"/>
        <w:jc w:val="left"/>
        <w:tblInd w:w="0" w:type="dxa"/>
        <w:tblCellMar>
          <w:top w:w="0" w:type="dxa"/>
          <w:left w:w="108" w:type="dxa"/>
          <w:bottom w:w="0" w:type="dxa"/>
          <w:right w:w="108" w:type="dxa"/>
        </w:tblCellMar>
      </w:tblPr>
      <w:tblGrid>
        <w:gridCol w:w="3395"/>
        <w:gridCol w:w="3400"/>
        <w:gridCol w:w="3409"/>
      </w:tblGrid>
      <w:tr>
        <w:trPr>
          <w:trHeight w:val="260" w:hRule="atLeast"/>
        </w:trPr>
        <w:tc>
          <w:tcPr>
            <w:tcW w:w="3395"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400"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409"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395"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School Attendance Officer</w:t>
            </w:r>
          </w:p>
        </w:tc>
        <w:tc>
          <w:tcPr>
            <w:tcW w:w="3400"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6</w:t>
            </w:r>
          </w:p>
        </w:tc>
        <w:tc>
          <w:tcPr>
            <w:tcW w:w="34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Attendance Lead</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rPr>
          <w:rFonts w:ascii="Calibri" w:hAnsi="Calibri" w:cs="Calibri"/>
          <w:lang w:eastAsia="en-GB"/>
        </w:rPr>
      </w:pPr>
      <w:r>
        <w:rPr>
          <w:rFonts w:cs="Calibri" w:ascii="Calibri" w:hAnsi="Calibri"/>
          <w:lang w:eastAsia="en-GB"/>
        </w:rPr>
        <w:t>To provide a comprehensive and high-quality support service to the schools to improve overall school attendance.</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widowControl/>
        <w:spacing w:lineRule="auto" w:line="276" w:before="0" w:after="160"/>
        <w:contextualSpacing/>
        <w:rPr>
          <w:rFonts w:ascii="Calibri" w:hAnsi="Calibri" w:cs="Calibri"/>
        </w:rPr>
      </w:pPr>
      <w:r>
        <w:rPr>
          <w:rFonts w:cs="Calibri" w:ascii="Calibri" w:hAnsi="Calibri"/>
        </w:rPr>
        <w:t>The main contacts of the job include the Attendance team, SLT Attendance Lead, Headteachers, wider SLT, teaching staff, other support staff, students, parents, and external support services.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ListParagraph"/>
        <w:widowControl/>
        <w:numPr>
          <w:ilvl w:val="0"/>
          <w:numId w:val="2"/>
        </w:numPr>
        <w:spacing w:before="0" w:after="120"/>
        <w:ind w:left="720" w:right="318" w:hanging="3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implement school attendance policies and procedures, supporting all staff in understanding the impact of policies on the children and their families/carers.</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Effectively manage a caseload and ensure casework and documentation is prepared and collated to support legal sanctions, and to present in court.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In liaison with the appropriate SLT member and key stakeholders support the effective organisation and participation in attendance, initiatives, campaigns, truancy sweeps and school blitzes to improve attendance in school.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Organise and deliver a regular cycle of training for school and key stakeholders e.g. new teachers and support staff, Governors, etc. on regulations, legislation, best practice guidelines, and LA processes.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collate, analyse and produce pupil attendance data, attendance patterns, trends and reports to inform future service delivery and strategic direction to improve attendance in school.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co-ordinate, plan and carryout home visits, including cold calling, lone visits and joint visits with other appropriate services e.g. Police, Health, Social Care and Caseworker.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Assist SLT in monitoring and enforcing attendance parenting orders and undertake casework in line with post- prosecution guidelines.</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Assist SLT to make decisions on a case by case basis as to the most appropriate course of action to be taken in any particular case.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carry out interviews in accordance with Child Protection and other Legislation.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contribute to the reviewing of service provision by effective planning and development e.g. /school/team plans, and implement any resulting changes in working practice, new services or changes in service delivery.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work as part of a team and contribute to the achievement of the team objectives and responsibilities. </w:t>
      </w:r>
    </w:p>
    <w:p>
      <w:pPr>
        <w:pStyle w:val="ListParagraph"/>
        <w:widowControl/>
        <w:numPr>
          <w:ilvl w:val="0"/>
          <w:numId w:val="2"/>
        </w:numPr>
        <w:spacing w:before="0" w:after="120"/>
        <w:ind w:left="720" w:right="318" w:hanging="360"/>
        <w:rPr>
          <w:rFonts w:ascii="Calibri" w:hAnsi="Calibri" w:eastAsia="Times New Roman" w:cs="Calibri"/>
          <w:color w:val="000000"/>
          <w:lang w:eastAsia="en-GB" w:bidi="ar-SA"/>
        </w:rPr>
      </w:pPr>
      <w:r>
        <w:rPr>
          <w:rFonts w:eastAsia="Times New Roman" w:cs="Calibri" w:ascii="Calibri" w:hAnsi="Calibri"/>
          <w:color w:val="000000"/>
          <w:lang w:eastAsia="en-GB" w:bidi="ar-SA"/>
        </w:rPr>
        <w:t xml:space="preserve">To actively promote equal opportunities and support the delivery of services which are accessible and appropriate to the diverse needs of service users. </w:t>
      </w:r>
    </w:p>
    <w:p>
      <w:pPr>
        <w:pStyle w:val="ListParagraph"/>
        <w:widowControl/>
        <w:numPr>
          <w:ilvl w:val="0"/>
          <w:numId w:val="2"/>
        </w:numPr>
        <w:spacing w:before="0" w:after="12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liaise with teaching and support staff on appropriate learning provision in the event of a child facing barriers to onsite attendance in school.</w:t>
      </w:r>
    </w:p>
    <w:p>
      <w:pPr>
        <w:pStyle w:val="ListParagraph"/>
        <w:widowControl/>
        <w:numPr>
          <w:ilvl w:val="0"/>
          <w:numId w:val="2"/>
        </w:numPr>
        <w:spacing w:before="0" w:after="12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ensure strategic processes are complied with to overcome barriers to support regular attendance for all students.</w:t>
      </w:r>
    </w:p>
    <w:p>
      <w:pPr>
        <w:pStyle w:val="ListParagraph"/>
        <w:widowControl/>
        <w:numPr>
          <w:ilvl w:val="0"/>
          <w:numId w:val="2"/>
        </w:numPr>
        <w:spacing w:before="0" w:after="12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assist in maintaining high standards of health and safety at all times.</w:t>
      </w:r>
    </w:p>
    <w:p>
      <w:pPr>
        <w:pStyle w:val="ListParagraph"/>
        <w:widowControl/>
        <w:numPr>
          <w:ilvl w:val="0"/>
          <w:numId w:val="2"/>
        </w:numPr>
        <w:spacing w:before="0" w:after="12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maintain personal and professional development to meet the changing demands of the job, participate in appropriate training activities and encourage and support staff in their development and training.</w:t>
      </w:r>
    </w:p>
    <w:p>
      <w:pPr>
        <w:pStyle w:val="ListParagraph"/>
        <w:widowControl/>
        <w:numPr>
          <w:ilvl w:val="0"/>
          <w:numId w:val="2"/>
        </w:numPr>
        <w:spacing w:before="0" w:after="12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To ensure that your own professional knowledge of relevant legislation, statutory and non-statutory guidance relating to your role, is up to date and impacts positively on the delivery or your role.</w:t>
      </w:r>
    </w:p>
    <w:p>
      <w:pPr>
        <w:pStyle w:val="Normal"/>
        <w:spacing w:lineRule="auto" w:line="276"/>
        <w:jc w:val="both"/>
        <w:rPr>
          <w:rFonts w:ascii="Calibri" w:hAnsi="Calibri" w:cs="Calibri"/>
          <w:b/>
          <w:b/>
          <w:bCs/>
          <w:u w:val="single"/>
        </w:rPr>
      </w:pPr>
      <w:r>
        <w:rPr>
          <w:rFonts w:cs="Calibri" w:ascii="Calibri" w:hAnsi="Calibri"/>
          <w:b/>
          <w:bCs/>
          <w:u w:val="single"/>
        </w:rPr>
      </w:r>
    </w:p>
    <w:p>
      <w:pPr>
        <w:pStyle w:val="Normal"/>
        <w:spacing w:lineRule="auto" w:line="276"/>
        <w:jc w:val="both"/>
        <w:rPr>
          <w:rFonts w:ascii="Calibri" w:hAnsi="Calibri" w:cs="Calibri"/>
          <w:b/>
          <w:b/>
          <w:bCs/>
          <w:u w:val="single"/>
        </w:rPr>
      </w:pPr>
      <w:r>
        <w:rPr>
          <w:rFonts w:cs="Calibri" w:ascii="Calibri" w:hAnsi="Calibri"/>
          <w:b/>
          <w:bCs/>
          <w:u w:val="single"/>
        </w:rPr>
        <w:t>All employees in the Trust are expected to:</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 to 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p>
    <w:p>
      <w:pPr>
        <w:pStyle w:val="Normal"/>
        <w:rPr>
          <w:rFonts w:ascii="Calibri" w:hAnsi="Calibri" w:cs="Calibri"/>
          <w:b/>
          <w:b/>
          <w:bCs/>
          <w:color w:val="FF0000"/>
        </w:rPr>
      </w:pPr>
      <w:r>
        <w:rPr>
          <w:rFonts w:cs="Calibri" w:ascii="Calibri" w:hAnsi="Calibri"/>
          <w:b/>
          <w:bCs/>
          <w:color w:val="FF0000"/>
        </w:rPr>
      </w:r>
      <w:r>
        <w:br w:type="page"/>
      </w:r>
    </w:p>
    <w:tbl>
      <w:tblPr>
        <w:tblW w:w="10541" w:type="dxa"/>
        <w:jc w:val="left"/>
        <w:tblInd w:w="0" w:type="dxa"/>
        <w:tblCellMar>
          <w:top w:w="0" w:type="dxa"/>
          <w:left w:w="108" w:type="dxa"/>
          <w:bottom w:w="0" w:type="dxa"/>
          <w:right w:w="108" w:type="dxa"/>
        </w:tblCellMar>
      </w:tblPr>
      <w:tblGrid>
        <w:gridCol w:w="6943"/>
        <w:gridCol w:w="1276"/>
        <w:gridCol w:w="2317"/>
        <w:gridCol w:w="5"/>
      </w:tblGrid>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pageBreakBefore/>
              <w:rPr>
                <w:rFonts w:ascii="Calibri" w:hAnsi="Calibri" w:cs="Calibri"/>
                <w:b/>
                <w:b/>
              </w:rPr>
            </w:pPr>
            <w:r>
              <w:rPr>
                <w:rFonts w:cs="Calibri" w:ascii="Calibri" w:hAnsi="Calibri"/>
                <w:b/>
              </w:rPr>
              <w:t>Person Specification</w:t>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 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val="en-US"/>
              </w:rPr>
            </w:pPr>
            <w:r>
              <w:rPr>
                <w:rFonts w:cs="Calibri" w:ascii="Calibri" w:hAnsi="Calibri"/>
                <w:lang w:val="en-US"/>
              </w:rPr>
              <w:t>Numeracy/literacy skills (at a level equivalent to NQF Level 2)</w:t>
            </w:r>
          </w:p>
          <w:p>
            <w:pPr>
              <w:pStyle w:val="Normal"/>
              <w:rPr>
                <w:rFonts w:ascii="Calibri" w:hAnsi="Calibri" w:cs="Calibri"/>
                <w:lang w:val="en-US"/>
              </w:rPr>
            </w:pPr>
            <w:r>
              <w:rPr>
                <w:rFonts w:cs="Calibri" w:ascii="Calibri" w:hAnsi="Calibri"/>
                <w:lang w:val="en-US"/>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61" w:hRule="atLeast"/>
        </w:trPr>
        <w:tc>
          <w:tcPr>
            <w:tcW w:w="10536"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Significant experience of working with children, young people, and their families within the field of education, social care, community or voluntary sector</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Experience, knowledge and understanding of working with children, young people and families and dealing with barriers to education</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61"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Experience, knowledge and understanding of safeguarding procedures, child protection issues and law and regulations governing the employment of children</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Knowledge and experience of statutory legislation, guidelines, and policies on attendance</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Experience of working with children and young people, parents / carers to overcome attendance difficulties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rPr>
                <w:rFonts w:ascii="Calibri" w:hAnsi="Calibri" w:cs="Calibri"/>
                <w:lang w:val="en-US"/>
              </w:rPr>
            </w:pPr>
            <w:r>
              <w:rPr>
                <w:rFonts w:cs="Calibri" w:ascii="Calibri" w:hAnsi="Calibri"/>
                <w:lang w:val="en-US"/>
              </w:rPr>
              <w:t>Excellent communication skills to communicate effectively, face-to-face or by telephone, with children, parents and carers</w:t>
            </w:r>
          </w:p>
          <w:p>
            <w:pPr>
              <w:pStyle w:val="Normal"/>
              <w:widowControl/>
              <w:rPr>
                <w:rFonts w:ascii="Calibri" w:hAnsi="Calibri" w:cs="Calibri"/>
                <w:lang w:val="en-US"/>
              </w:rPr>
            </w:pPr>
            <w:r>
              <w:rPr>
                <w:rFonts w:cs="Calibri" w:ascii="Calibri" w:hAnsi="Calibri"/>
                <w:lang w:val="en-US"/>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Effective and persuasive communicator both verbally and in writing, with the ability to produce accurate, good quality letters, reports and documentation for internal and external contacts including members of the public, governors, and staff at all levels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Experience of preparing legal casework and presenting prosecution cases in court</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Excellent IT skills, including spreadsheets, databases, word processing, and internet/intranet /email</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work independently, manage a range of tasks with a methodical approach to large workloads to meet deadlines within fixed, sometimes conflicting, timescales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adapt to challenging situations and people and respond appropriately using negotiation and influencing skills to achieve objectives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 Task</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lead a team, ensuring that they work in an efficient and collaborative manner to ensure that they meet agreed goals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travel to various sites to attend meetings case conferences etc</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color w:val="000000"/>
              </w:rPr>
            </w:pPr>
            <w:r>
              <w:rPr>
                <w:rFonts w:cs="Calibri" w:ascii="Calibri" w:hAnsi="Calibri"/>
                <w:color w:val="000000"/>
              </w:rPr>
              <w:t>Application</w:t>
            </w:r>
          </w:p>
        </w:tc>
      </w:tr>
      <w:tr>
        <w:trPr>
          <w:trHeight w:val="246" w:hRule="atLeast"/>
        </w:trPr>
        <w:tc>
          <w:tcPr>
            <w:tcW w:w="10536"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Drive, tenacity, and an ability to maintain focus, objectivity, and sound judgment under complex conditions to achieve desired outcomes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Empathy and understanding of different family circumstances and barriers to learning</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Personal commitment to excellence in service delivery and to ensure services are equally accessible and appropriate to the diverse needs of service users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lang w:eastAsia="en-GB"/>
              </w:rPr>
            </w:pPr>
            <w:r>
              <w:rPr>
                <w:rFonts w:cs="Calibri" w:ascii="Calibri" w:hAnsi="Calibri"/>
                <w:lang w:eastAsia="en-GB"/>
              </w:rPr>
              <w:t>Self-motivation and personal drive to complete tasks to required timescales and quality standards</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Ongoing commitment to inclusive education practices and equality of opportunity</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p>
            <w:pPr>
              <w:pStyle w:val="Normal"/>
              <w:rPr>
                <w:rFonts w:ascii="Calibri" w:hAnsi="Calibri" w:cs="Calibri"/>
              </w:rPr>
            </w:pPr>
            <w:r>
              <w:rPr>
                <w:rFonts w:cs="Calibri" w:ascii="Calibri" w:hAnsi="Calibri"/>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Ability to work as part of a team and openly and collaboratively with multi-agency colleagues, while applying the principles of confidentiality</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3" w:type="dxa"/>
            <w:tcBorders>
              <w:top w:val="single" w:sz="2" w:space="0" w:color="000000"/>
              <w:left w:val="single" w:sz="2" w:space="0" w:color="000000"/>
              <w:bottom w:val="single" w:sz="2" w:space="0" w:color="000000"/>
            </w:tcBorders>
            <w:shd w:fill="auto" w:val="clear"/>
          </w:tcPr>
          <w:p>
            <w:pPr>
              <w:pStyle w:val="Normal"/>
              <w:widowControl/>
              <w:jc w:val="both"/>
              <w:rPr>
                <w:rFonts w:ascii="Calibri" w:hAnsi="Calibri" w:cs="Calibri"/>
                <w:lang w:eastAsia="en-GB"/>
              </w:rPr>
            </w:pPr>
            <w:r>
              <w:rPr>
                <w:rFonts w:cs="Calibri" w:ascii="Calibri" w:hAnsi="Calibri"/>
                <w:lang w:eastAsia="en-GB"/>
              </w:rPr>
              <w:t>Flexibility in approaches to work including service location arrangements and working outside core hours</w:t>
            </w:r>
          </w:p>
          <w:p>
            <w:pPr>
              <w:pStyle w:val="Normal"/>
              <w:widowControl/>
              <w:jc w:val="both"/>
              <w:rPr>
                <w:rFonts w:ascii="Calibri" w:hAnsi="Calibri" w:cs="Calibri"/>
                <w:lang w:eastAsia="en-GB"/>
              </w:rPr>
            </w:pPr>
            <w:r>
              <w:rPr>
                <w:rFonts w:cs="Calibri" w:ascii="Calibri" w:hAnsi="Calibri"/>
                <w:lang w:eastAsia="en-GB"/>
              </w:rPr>
            </w:r>
          </w:p>
        </w:tc>
        <w:tc>
          <w:tcPr>
            <w:tcW w:w="127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7"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w:t>
      </w:r>
      <w:r>
        <w:rPr>
          <w:rFonts w:cs="Calibri" w:ascii="Calibri" w:hAnsi="Calibri"/>
          <w:sz w:val="21"/>
          <w:szCs w:val="21"/>
        </w:rPr>
        <w:t>nication.</w:t>
      </w:r>
    </w:p>
    <w:p>
      <w:pPr>
        <w:pStyle w:val="Normal"/>
        <w:spacing w:lineRule="auto" w:line="276"/>
        <w:jc w:val="both"/>
        <w:rPr>
          <w:vanish/>
        </w:rPr>
      </w:pPr>
      <w:r>
        <w:rPr>
          <w:vanish/>
        </w:rPr>
      </w:r>
      <w:bookmarkStart w:id="0" w:name="_PictureBullets"/>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b/>
        <w:b/>
        <w:bCs/>
        <w:sz w:val="24"/>
        <w:szCs w:val="24"/>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5</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6">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21">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11">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6">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2022-01-28T11:36:00Z</dcterms:created>
  <dc:creator>Andi Bryan</dc:creator>
  <dc:description/>
  <dc:language>en-US</dc:language>
  <cp:lastModifiedBy>Dayna Williams</cp:lastModifiedBy>
  <cp:lastPrinted>1995-11-21T17:41:00Z</cp:lastPrinted>
  <dcterms:modified xsi:type="dcterms:W3CDTF">2026-01-20T10:53:00Z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