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right"/>
        <w:rPr>
          <w:sz w:val="22"/>
          <w:szCs w:val="22"/>
          <w:lang w:val="en-GB" w:eastAsia="en-GB" w:bidi="en-GB"/>
        </w:rPr>
      </w:pPr>
    </w:p>
    <w:p>
      <w:pPr>
        <w:pStyle w:val="Normal"/>
        <w:tabs>
          <w:tab w:val="left" w:pos="2508"/>
          <w:tab w:val="left" w:pos="682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Senior Social Worker (Integrated Neighbourhood team),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the effective development of partnership approaches in order to safeguard individuals through the effective management of safeguarding risk and the recording and sharing of information.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ensure that through effective advice, planning and support and the utilisation of ‘joined up’ approaches, individuals are able to access services appropriate for their identified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support the leadership of the team and service through the provision of advice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Be responsible for carrying out social work duties, including care co-ordination, in relation to the most complex cases requiring the highest levels of skills, knowledge and professional expertise.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lang w:val="en-US" w:eastAsia="en-US" w:bidi="en-US"/>
        </w:rPr>
      </w:pPr>
      <w:r>
        <w:rPr>
          <w:rFonts w:ascii="Arial" w:hAnsi="Arial" w:eastAsia="Arial" w:cs="Arial"/>
          <w:color w:val="auto"/>
          <w:lang w:val="en-US" w:eastAsia="en-US" w:bidi="en-US"/>
        </w:rPr>
        <w:t xml:space="preserve">Proactively establish, develop and maintain relationships with partner agencies and stakeholders to provide individuals with the opportunity to access suitable services which will assist them in achieving their agreed goals.</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auto"/>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The role holder will provide professional oversight and supervision in difficult and complex situations to a group of professionally qualified Social Workers, care assessors, and other staff, ensuring that necessary legal, policy and ethical imperatives are maintained in working with customers of the service.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The role holder will support the leadership of the Team Manager providing a consistent and effective service in complex individual and family situations, maintaining good working relationships within the team, with other Council services and with a range of external partners.</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r>
        <w:rPr>
          <w:rFonts w:ascii="Arial" w:hAnsi="Arial" w:eastAsia="Arial" w:cs="Arial"/>
          <w:color w:val="222222"/>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r>
        <w:rPr>
          <w:rFonts w:ascii="Arial" w:hAnsi="Arial" w:eastAsia="Arial" w:cs="Arial"/>
          <w:color w:val="222222"/>
          <w:lang w:val="en-GB" w:eastAsia="en-GB" w:bidi="en-GB"/>
        </w:rPr>
        <w:t xml:space="preserve">The role holder will be responsible for the safe delivery of social care, ensuring the effective discharge of statutory responsibilities and the provision of a high quality standard of service. The role holder will manage safeguarding risk effectively, working within a multi-agency environment to provide a professional social work service.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u w:val="single"/>
          <w:lang w:val="en-GB" w:eastAsia="en-GB" w:bidi="en-GB"/>
        </w:rPr>
      </w:pPr>
      <w:r>
        <w:rPr>
          <w:rFonts w:ascii="Arial" w:hAnsi="Arial" w:eastAsia="Arial" w:cs="Arial"/>
          <w:color w:val="222222"/>
          <w:u w:val="single"/>
          <w:lang w:val="en-GB" w:eastAsia="en-GB" w:bidi="en-GB"/>
        </w:rPr>
        <w:t xml:space="preserve">Key Responsibilities will include: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222222"/>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Providing professional supervision to qualified and unqualified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r>
        <w:rPr>
          <w:rFonts w:ascii="Arial" w:hAnsi="Arial" w:eastAsia="Arial" w:cs="Arial"/>
          <w:lang w:val="en-GB" w:eastAsia="en-GB" w:bidi="en-GB"/>
        </w:rPr>
        <w:t xml:space="preserve">Provide assessment and support to staff taking student social workers on placement.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Undertaking responsibility for managing specific aspects of practice and leadership in the absence of the Team Manage.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Support where necessary in the wider roles and performance of the team in respect of adult safeguarding, assessments and reviews.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Is able to effectively transfer key and complex information to all levels of staff, adapting the style of communication as necessary and ensuring that this information is understood. Ability to advise others and deal with sensitive issues in difficult situations inside and outside area, negotiating riskier demands.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Ability to absorb, understand and quickly assimilate complex information and complex and compare information from a number of different sources. Ability to identify patterns and trends that may impact on decisions and propose realistic conclusions identifying the risks and any assumptions made.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 of a relatively uniform nature.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Ability to lead, manage and motivate staff to high levels of performance in order to achieve change and maximise staff potential and contribution to the achievement of identified aims and objectives. Can also lead and plan the work of the team which deals with more diverse issues.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Social Work Qualification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Registered with Social Work England</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color w:val="000000"/>
          <w:shd w:val="clear" w:color="auto" w:fill="FFFFFF"/>
          <w:lang w:val="en-GB" w:eastAsia="en-GB" w:bidi="en-GB"/>
        </w:rPr>
        <w:t xml:space="preserve">Experienced Social Worker in line with the Social Work Professional Capabilities Framework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Experienced Practice Educator/BIA/AMHP</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 to consent to and apply for an enhanced (DBS) disclosure check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lang w:val="en-GB" w:eastAsia="en-GB" w:bidi="en-GB"/>
        </w:rPr>
        <w:t xml:space="preserve">Willingness to travel to any location within the boundaries of the City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p>
    <w:sectPr>
      <w:headerReference w:type="default" r:id="rId00007"/>
      <w:footerReference w:type="default" r:id="rId00008"/>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sz w:val="16"/>
        <w:szCs w:val="16"/>
        <w:lang w:val="en-GB" w:eastAsia="en-GB" w:bidi="en-GB"/>
      </w:rPr>
    </w:pPr>
    <w:r>
      <w:rPr>
        <w:b/>
        <w:bCs/>
        <w:sz w:val="16"/>
        <w:szCs w:val="16"/>
        <w:lang w:val="en-GB" w:eastAsia="en-GB" w:bidi="en-GB"/>
      </w:rPr>
      <w:drawing>
        <wp:inline distT="0" distB="0" distL="0" distR="0">
          <wp:extent cx="2181225" cy="419735"/>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1225" cy="41973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FFFFFF"/>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Default Text:1">
    <w:name w:val="Default Text:1"/>
    <w:basedOn w:val="Normal"/>
    <w:next w:val="Default Text:1"/>
    <w:qFormat/>
    <w:pPr/>
    <w:rPr>
      <w:color w:val="000000"/>
      <w:lang w:val="en-US" w:eastAsia="en-US" w:bidi="en-US"/>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NormalWeb">
    <w:name w:val="Normal (Web)"/>
    <w:basedOn w:val="Normal"/>
    <w:next w:val="NormalWeb"/>
    <w:qFormat/>
    <w:pPr/>
    <w:rPr>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Default">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lang w:val="en-GB" w:eastAsia="en-GB" w:bidi="en-GB"/>
    </w:rPr>
  </w:style>
  <w:style w:type="character" w:styleId="HTMLCode">
    <w:name w:val="HTML Code"/>
    <w:qFormat/>
    <w:rPr>
      <w:rFonts w:ascii="Arial" w:hAnsi="Arial" w:eastAsia="Arial" w:cs="Arial"/>
      <w:rtl w:val="off"/>
    </w:rPr>
  </w:style>
  <w:style w:type="character" w:styleId="CommentReference">
    <w:name w:val="annotation reference"/>
    <w:qFormat/>
    <w:rPr>
      <w:sz w:val="16"/>
      <w:szCs w:val="16"/>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doranmat</dc:creator>
  <dcterms:created xsi:type="dcterms:W3CDTF">2021-02-24T12:14:00Z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uthor">
    <vt:lpwstr>Steve Smythe</vt:lpwstr>
  </property>
  <property fmtid="{D5CDD505-2E9C-101B-9397-08002B2CF9AE}" pid="3" name="ContentTypeId">
    <vt:lpwstr>0x010100E36764074BE5104385DD98E0D786DBB3</vt:lpwstr>
  </property>
  <property fmtid="{D5CDD505-2E9C-101B-9397-08002B2CF9AE}" pid="4" name="display_urn:schemas-microsoft-com:office:office#Editor">
    <vt:lpwstr>Steve Smythe</vt:lpwstr>
  </property>
  <property fmtid="{D5CDD505-2E9C-101B-9397-08002B2CF9AE}" pid="5" name="TemplateUrl">
    <vt:lpwstr/>
  </property>
  <property fmtid="{D5CDD505-2E9C-101B-9397-08002B2CF9AE}" pid="6" name="PublishingExpirationDate">
    <vt:lpwstr/>
  </property>
  <property fmtid="{D5CDD505-2E9C-101B-9397-08002B2CF9AE}" pid="7" name="_SharedFileIndex">
    <vt:lpwstr/>
  </property>
  <property fmtid="{D5CDD505-2E9C-101B-9397-08002B2CF9AE}" pid="8" name="Order">
    <vt:lpwstr>13200.0000000000</vt:lpwstr>
  </property>
  <property fmtid="{D5CDD505-2E9C-101B-9397-08002B2CF9AE}" pid="9" name="xd_Signature">
    <vt:lpwstr/>
  </property>
  <property fmtid="{D5CDD505-2E9C-101B-9397-08002B2CF9AE}" pid="10" name="PublishingStartDate">
    <vt:lpwstr/>
  </property>
  <property fmtid="{D5CDD505-2E9C-101B-9397-08002B2CF9AE}" pid="11" name="xd_ProgID">
    <vt:lpwstr/>
  </property>
  <property fmtid="{D5CDD505-2E9C-101B-9397-08002B2CF9AE}" pid="12" name="Category">
    <vt:lpwstr>Organisational Change</vt:lpwstr>
  </property>
</Properties>
</file>