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Business Support Lead Level 1,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Highways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Business Support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Job Family: Business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act as a key member of the team in the provision of a quality, value-added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high quality, customer focused, flexible and timely business support directly contributing to the achievement of objectives of a high 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play a key role in the development, maintenance and monitoring of effective management information systems to meet the needs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effectively coordinate project work and lead on specific project work streams to support the delivery of a high quality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may be required to provide high quality, professional, customer focused, flexible, timely and confidential secretarial support to senior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Accurately monitor best practice across a high quality service using management information to assess performance and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Coordinate the effective deployment of resources to meet the support needs of the service, managing performance and development needs to achieve agreed project objectives and service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Coordinate the production and supply of accurate performance data and management information to support the needs of the service in line with agreed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contribute to the monitoring, evaluation and improvement of all business support activities and house-keeping protocols that support the needs of the service and corporate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accurate research and analysis support where required and produce a range of high quality communication, such as reports and briefing notes for various audiences and purposes including complex, confidential and sensitive correspondence.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effectively to the design, implementation and maintenance of high quality management information systems and business support activities, providing comprehensive advice to customers and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role of business support throughout the Council, providing cover and flexibility where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The scale and ambition of the work planned in the city over the next few years, to deliver both the</w:t>
      </w:r>
      <w:r>
        <w:rPr>
          <w:rFonts w:ascii="Arial" w:hAnsi="Arial" w:eastAsia="Arial" w:cs="Arial"/>
          <w:u w:val="single"/>
          <w:lang w:val="en-GB" w:eastAsia="en-GB" w:bidi="en-GB"/>
        </w:rPr>
        <w:t xml:space="preserve"> </w:t>
      </w:r>
      <w:r>
        <w:rPr>
          <w:rFonts w:ascii="Arial" w:hAnsi="Arial" w:eastAsia="Arial" w:cs="Arial"/>
          <w:u w:val="single"/>
          <w:lang w:val="en-GB" w:eastAsia="en-GB" w:bidi="en-GB"/>
        </w:rPr>
        <w:fldChar w:fldCharType="begin"/>
      </w:r>
      <w:r>
        <w:rPr>
          <w:rFonts w:ascii="Arial" w:hAnsi="Arial" w:eastAsia="Arial" w:cs="Arial"/>
          <w:u w:val="single"/>
          <w:lang w:val="en-GB" w:eastAsia="en-GB" w:bidi="en-GB"/>
        </w:rPr>
        <w:instrText xml:space="preserve"> HYPERLINK "https://www.tfgm.com/2040" </w:instrText>
      </w:r>
      <w:r>
        <w:rPr>
          <w:rFonts w:ascii="Arial" w:hAnsi="Arial" w:eastAsia="Arial" w:cs="Arial"/>
          <w:u w:val="single"/>
          <w:lang w:val="en-GB" w:eastAsia="en-GB" w:bidi="en-GB"/>
        </w:rPr>
        <w:fldChar w:fldCharType="separate"/>
      </w:r>
      <w:r>
        <w:rPr>
          <w:rFonts w:ascii="Arial" w:hAnsi="Arial" w:eastAsia="Arial" w:cs="Arial"/>
          <w:u w:val="single"/>
          <w:lang w:val="en-GB" w:eastAsia="en-GB" w:bidi="en-GB"/>
        </w:rPr>
        <w:t xml:space="preserve">Greater Manchester Transport Strategy 2040</w:t>
      </w:r>
      <w:r>
        <w:rPr>
          <w:rFonts w:ascii="Arial" w:hAnsi="Arial" w:eastAsia="Arial" w:cs="Arial"/>
          <w:lang w:val="en-GB" w:eastAsia="en-GB" w:bidi="en-GB"/>
        </w:rPr>
        <w:fldChar w:fldCharType="end"/>
      </w:r>
      <w:r>
        <w:rPr>
          <w:rFonts w:ascii="Arial" w:hAnsi="Arial" w:eastAsia="Arial" w:cs="Arial"/>
          <w:lang w:val="en-GB" w:eastAsia="en-GB" w:bidi="en-GB"/>
        </w:rPr>
        <w:t xml:space="preserve"> and National Transport Strategies, is huge. It will provide excellent opportunities for career development to the full range of professionals who support our schemes, across the full range of professional disciplines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r>
        <w:rPr>
          <w:rFonts w:ascii="Arial" w:hAnsi="Arial" w:eastAsia="Arial" w:cs="Arial"/>
          <w:b/>
          <w:bCs/>
          <w:lang w:val="en-GB" w:eastAsia="en-GB" w:bidi="en-GB"/>
        </w:rPr>
        <w:t xml:space="preserve">In the Highways Service in Manchester, we seek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b/>
          <w:bCs/>
          <w:lang w:val="en-GB" w:eastAsia="en-GB" w:bidi="en-GB"/>
        </w:rPr>
        <w:t xml:space="preserve">Manage </w:t>
      </w:r>
      <w:r>
        <w:rPr>
          <w:rFonts w:ascii="Arial" w:hAnsi="Arial" w:eastAsia="Arial" w:cs="Arial"/>
          <w:lang w:val="en-GB" w:eastAsia="en-GB" w:bidi="en-GB"/>
        </w:rPr>
        <w:t xml:space="preserve">the highway network and public spaces efficiently balancing the various needs of users and stakeholders improving network reliability work with colleagues and members in a partnership way that takes a strategic approach to highway infrastructure to deliver the Council’s vision and strategies and supports the growth aspirations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b/>
          <w:bCs/>
          <w:lang w:val="en-GB" w:eastAsia="en-GB" w:bidi="en-GB"/>
        </w:rPr>
        <w:t xml:space="preserve">Maintain </w:t>
      </w:r>
      <w:r>
        <w:rPr>
          <w:rFonts w:ascii="Arial" w:hAnsi="Arial" w:eastAsia="Arial" w:cs="Arial"/>
          <w:lang w:val="en-GB" w:eastAsia="en-GB" w:bidi="en-GB"/>
        </w:rPr>
        <w:t xml:space="preserve">the highway, structures and public spaces and its assets fulfilling the Council’s legal obligations in a cost effective way using a whole life costing approach communicate with residents, stakeholders, business, visitors and commuters in relation to service delivery and work programmes and their levels of satisfaction</w:t>
        <w:br w:type="textWrapping"/>
      </w:r>
      <w:r>
        <w:rPr>
          <w:rFonts w:ascii="Arial" w:hAnsi="Arial" w:eastAsia="Arial" w:cs="Arial"/>
          <w:b/>
          <w:bCs/>
          <w:lang w:val="en-GB" w:eastAsia="en-GB" w:bidi="en-GB"/>
        </w:rPr>
        <w:t xml:space="preserve">Improve - </w:t>
      </w:r>
      <w:r>
        <w:rPr>
          <w:rFonts w:ascii="Arial" w:hAnsi="Arial" w:eastAsia="Arial" w:cs="Arial"/>
          <w:lang w:val="en-GB" w:eastAsia="en-GB" w:bidi="en-GB"/>
        </w:rPr>
        <w:t xml:space="preserve">develop, design, procure and implement improvement schemes to make better use of the existing network, improve accessibility and increase journey time reliability create, design and deliver sustainable and active transport through better and increased walking and cycling routes and supporting children with road safety. Effectively use a supply chain and increase social value for Manchester. Support utility companies to manage critical infrastructure</w:t>
        <w:br w:type="textWrapping"/>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r>
        <w:rPr>
          <w:rFonts w:ascii="Arial" w:hAnsi="Arial" w:eastAsia="Arial" w:cs="Arial"/>
          <w:lang w:val="en-GB" w:eastAsia="en-GB" w:bidi="en-GB"/>
        </w:rPr>
        <w:t xml:space="preserve">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b/>
          <w:bCs/>
          <w:lang w:val="en-GB" w:eastAsia="en-GB" w:bidi="en-GB"/>
        </w:rPr>
        <w:t xml:space="preserve">About the Network Management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t xml:space="preserve">It provides services for communities and neighbourhoods, including planned and reactive maintenance, network management and development control, co-ordinating and managing roadworks, winter maintenance (including gritting), highways structures (bridges etc), flood management, parking, public spaces, monuments and water features.  They aim to meet the needs of the city and our residents by providing the best possible service, working efficiently and generating income. </w:t>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p>
    <w:p>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222222"/>
        </w:rPr>
      </w:pP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are proud and passionate about Manchester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take time to listen and understand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‘own it’ and we’re not afraid to try new things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work together and trust each other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pPr>
      <w:r>
        <w:rPr>
          <w:color w:val="000000"/>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lang w:val="en-GB" w:eastAsia="en-GB" w:bidi="en-GB"/>
        </w:rPr>
      </w:pPr>
      <w:r>
        <w:rPr>
          <w:rFonts w:ascii="Arial" w:hAnsi="Arial" w:eastAsia="Arial" w:cs="Arial"/>
          <w:b/>
          <w:bCs/>
          <w:lang w:val="en-GB" w:eastAsia="en-GB" w:bidi="en-GB"/>
        </w:rPr>
        <w:t xml:space="preserve">Planning and Organising:</w:t>
      </w:r>
      <w:r>
        <w:rPr>
          <w:rFonts w:ascii="Arial" w:hAnsi="Arial" w:eastAsia="Arial" w:cs="Arial"/>
          <w:sz w:val="22"/>
          <w:szCs w:val="22"/>
          <w:lang w:val="en-GB" w:eastAsia="en-GB" w:bidi="en-GB"/>
        </w:rPr>
        <w:t xml:space="preserve">  </w:t>
      </w:r>
      <w:r>
        <w:rPr>
          <w:rFonts w:ascii="Arial" w:hAnsi="Arial" w:eastAsia="Arial" w:cs="Arial"/>
          <w:lang w:val="en-GB" w:eastAsia="en-GB" w:bidi="en-GB"/>
        </w:rPr>
        <w:t xml:space="preserve">Demonstrate the ability</w:t>
      </w:r>
      <w:r>
        <w:rPr>
          <w:rFonts w:ascii="Arial" w:hAnsi="Arial" w:eastAsia="Arial" w:cs="Arial"/>
          <w:sz w:val="28"/>
          <w:szCs w:val="28"/>
          <w:lang w:val="en-GB" w:eastAsia="en-GB" w:bidi="en-GB"/>
        </w:rPr>
        <w:t xml:space="preserve"> </w:t>
      </w:r>
      <w:r>
        <w:rPr>
          <w:rFonts w:ascii="Arial" w:hAnsi="Arial" w:eastAsia="Arial" w:cs="Arial"/>
          <w:lang w:val="en-GB" w:eastAsia="en-GB" w:bidi="en-GB"/>
        </w:rPr>
        <w:t xml:space="preserve">to organise multiple tasks in the most effective way, and allocate time and energy according to task complexity and priority.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Problem Solving &amp;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think creatively and provide innovative solutions to problems. Has ability to develop new approaches to finding solutions outside of existing parameters.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Administrative Skills:  </w:t>
      </w:r>
      <w:r>
        <w:rPr>
          <w:rFonts w:ascii="Arial" w:hAnsi="Arial" w:eastAsia="Arial" w:cs="Arial"/>
          <w:lang w:val="en-GB" w:eastAsia="en-GB" w:bidi="en-GB"/>
        </w:rPr>
        <w:t xml:space="preserve">Ability to develop and maintain effective systems in a rapidly changing environment.</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 Numeracy and accuracy skills to handle numbers confidently, collate information and keep accurate and reliable records to help with the monitoring and reviewing of financial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6"/>
      <w:footerReference w:type="default" r:id="rId00007"/>
      <w:pgSz w:w="11906" w:h="16838"/>
      <w:pgMar w:top="1440" w:right="1440" w:bottom="1440" w:left="1440"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2608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060" cy="42608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Pendleton</dc:creator>
  <dcterms:created xsi:type="dcterms:W3CDTF">2022-03-15T10:22:00Z</dcterms:created>
</cp:coreProperties>
</file>