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r>
        <w:rPr>
          <w:rFonts w:ascii="Arial" w:hAnsi="Arial" w:eastAsia="Arial" w:cs="Arial"/>
          <w:b/>
          <w:bCs/>
          <w:color w:val="000000"/>
          <w:lang w:val="en-GB" w:eastAsia="en-GB" w:bidi="en-GB"/>
        </w:rPr>
        <w:t xml:space="preserve">Manchester Local Care Organisation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Profile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81" w:line="271" w:lineRule="exact"/>
        <w:jc w:val="center"/>
        <w:rPr>
          <w:rFonts w:ascii="Arial" w:hAnsi="Arial" w:eastAsia="Arial" w:cs="Arial"/>
          <w:b/>
          <w:bCs/>
          <w:color w:val="000000"/>
          <w:lang w:val="en-US" w:eastAsia="en-US" w:bidi="en-US"/>
        </w:rPr>
      </w:pPr>
      <w:r>
        <w:rPr>
          <w:rFonts w:ascii="Arial" w:hAnsi="Arial" w:eastAsia="Arial" w:cs="Arial"/>
          <w:b/>
          <w:bCs/>
          <w:color w:val="000000"/>
          <w:lang w:val="en-US" w:eastAsia="en-US" w:bidi="en-US"/>
        </w:rPr>
        <w:t xml:space="preserve">Positive Approaches Practitioner, Grade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79" w:line="273" w:lineRule="exact"/>
        <w:jc w:val="center"/>
        <w:rPr>
          <w:rFonts w:ascii="Arial" w:hAnsi="Arial" w:eastAsia="Arial" w:cs="Arial"/>
          <w:b/>
          <w:bCs/>
          <w:color w:val="000000"/>
          <w:lang w:val="en-US" w:eastAsia="en-US" w:bidi="en-US"/>
        </w:rPr>
      </w:pPr>
      <w:r>
        <w:rPr>
          <w:rFonts w:ascii="Arial" w:hAnsi="Arial" w:eastAsia="Arial" w:cs="Arial"/>
          <w:b/>
          <w:bCs/>
          <w:color w:val="000000"/>
          <w:lang w:val="en-US" w:eastAsia="en-US" w:bidi="en-US"/>
        </w:rPr>
        <w:t xml:space="preserve">Provider Services, Adults’ Directorate </w:t>
      </w:r>
      <w:r>
        <w:rPr>
          <w:rFonts w:ascii="Arial" w:hAnsi="Arial" w:eastAsia="Arial" w:cs="Arial"/>
          <w:lang w:val="en-US" w:eastAsia="en-US" w:bidi="en-US"/>
        </w:rPr>
        <w:br w:type="textWrapping"/>
      </w:r>
      <w:r>
        <w:rPr>
          <w:rFonts w:ascii="Arial" w:hAnsi="Arial" w:eastAsia="Arial" w:cs="Arial"/>
          <w:b/>
          <w:bCs/>
          <w:color w:val="000000"/>
          <w:lang w:val="en-US" w:eastAsia="en-US" w:bidi="en-US"/>
        </w:rPr>
        <w:t xml:space="preserve">Reports to: Positive Approaches Lead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color w:val="000000"/>
          <w:lang w:val="en-GB" w:eastAsia="en-GB" w:bidi="en-GB"/>
        </w:rPr>
        <w:t xml:space="preserve">Job Family: People Care and Support Direct</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Manchester Local Care Organisation</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lang w:val="en-GB" w:eastAsia="en-GB" w:bidi="en-GB"/>
        </w:rPr>
      </w:pPr>
      <w:r>
        <w:rPr>
          <w:rFonts w:ascii="Arial" w:hAnsi="Arial" w:eastAsia="Arial" w:cs="Arial"/>
          <w:color w:val="000000"/>
          <w:lang w:val="en-GB" w:eastAsia="en-GB" w:bidi="en-GB"/>
        </w:rPr>
        <w:t xml:space="preserve">Manchester Local Care Organisation (MLCO) has been established by the partners (Manchester City Council, Manchester University NHS Foundation Trust, Greater Manchester Mental Health Service NHS Trust and Manchester Primary Care Partnership) to integrate, plan and manage community health and social care across the City.  By working better together, we are bringing community health and social care services together in our 12 neighbourhoods to form integrated Neighbourhoods Teams (INTs). Our INTs will drive our collaborative approach, developing partnerships and building on existing community assets to facilitate improved delivery specific to each neighbourhood. We will be able to provide improved care closer to home and to support the people of Manchester to live healthier, more independent and fulfilling lives and be part of a thriving and supportive community. Your role is deployed into MLCO by your employer: Manchester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r>
        <w:rPr>
          <w:rFonts w:ascii="Arial" w:hAnsi="Arial" w:eastAsia="Arial" w:cs="Arial"/>
          <w:b/>
          <w:bCs/>
          <w:lang w:val="en-GB" w:eastAsia="en-GB" w:bidi="en-GB"/>
        </w:rPr>
        <w:t xml:space="preserve">Key Role Descriptors: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work to provide direct support for service users and their families in accordance with statutory responsibilities and local and national policies and procedures in order to secure positive outcomes for the customer.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work with City Council colleagues, partner agencies and stakeholders to effectively manage and plan for present and future risk situations of service users.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assess and plan person-centred packages to meet the individual needs of service users to promote their independence.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lang w:val="en-GB" w:eastAsia="en-GB" w:bidi="en-GB"/>
        </w:rPr>
        <w:t xml:space="preserve">The role holder will supervise and develop students and trainees and actively contribute to the development of other staff.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Key Role Accountabilities:</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Develop and manage a relationship to support service users and their families in line with statutory obligations through complex decision making to allow service users to access improved future opportunities.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In conjunction with partner agencies and stakeholders, effectively assess and plan service users’ individual needs to ensure positive outcomes for Manchester residents.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Develop positive and effective solutions in all aspects of service delivery and engagement, focusing on the quality of outcomes for service users.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Collaborate with internal and external colleagues and stakeholders to actively contribute to the development and delivery of the service within Manchester City Council and partner organisations.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Engage with stakeholders in the private and public sectors and across local communities to encourage a collaborative and transparent approach that promotes service users needs across a range of existing and new initiatives.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Efficiently maintain accurate and appropriate records in accordance with statutory targets and City Council, local and national policy and procedures to evidence achievement of service targets and improvements in delivery.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Roles at this level may be required to manage a range of assigned resources, which may be human, financial or other, to ensure continuous improvement in service delivery.  Staff management duties may be either through direct line management of a team (including appraisals, performance management and other duties) or through matrix management of a virtual team of officers.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Personal commitment to continuous self development and service improvement.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en-GB" w:eastAsia="en-GB" w:bidi="en-GB"/>
        </w:rPr>
      </w:pPr>
      <w:r>
        <w:rPr>
          <w:rFonts w:ascii="Arial" w:hAnsi="Arial" w:eastAsia="Arial" w:cs="Arial"/>
          <w:color w:val="000000"/>
          <w:lang w:val="en-GB" w:eastAsia="en-GB" w:bidi="en-GB"/>
        </w:rPr>
        <w:t xml:space="preserve">Through personal example, open commitment and clear action, ensure diversity is positively valued, resulting in equal access and treatment in employment, service delivery and communications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Where the roleholder is disabled every effort will be made to supply all necessary aids, adaptations or equipment to allow them to carry out all the duties of the role.  If, however, a certain task proves to be unachievable, job redesign will be given full consideration.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567"/>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r>
        <w:rPr>
          <w:rFonts w:ascii="Arial" w:hAnsi="Arial" w:eastAsia="Arial" w:cs="Arial"/>
          <w:b/>
          <w:bCs/>
          <w:color w:val="000000"/>
          <w:lang w:val="en-GB" w:eastAsia="en-GB" w:bidi="en-GB"/>
        </w:rPr>
        <w:t xml:space="preserve">Role portfolio: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en-GB" w:eastAsia="en-GB" w:bidi="en-GB"/>
        </w:rPr>
      </w:pPr>
      <w:r>
        <w:rPr>
          <w:rFonts w:ascii="Arial" w:hAnsi="Arial" w:eastAsia="Arial" w:cs="Arial"/>
          <w:color w:val="000000"/>
          <w:lang w:val="en-GB" w:eastAsia="en-GB" w:bidi="en-GB"/>
        </w:rPr>
        <w:t xml:space="preserve">Manchester City Council and the NHS are working in partnership in Manchester and Trafford to design and deliver health and care services that help people lead healthier lives. The Manchester Local Care Organisation (‘the LCO’) has been established to bring community health and social care professionals together in the same organisations, working to a shared vision for better health and care services delivering better health outcomes for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r>
        <w:rPr>
          <w:rFonts w:ascii="Arial" w:hAnsi="Arial" w:eastAsia="Arial" w:cs="Arial"/>
          <w:color w:val="000000"/>
          <w:lang w:val="en-GB" w:eastAsia="en-GB" w:bidi="en-GB"/>
        </w:rPr>
        <w:t xml:space="preserve">This role will be located within Adult Social Care’s (ASC) Provider Services i.e., the Disability Supported Accommodation Service (DSAS), Day Services, Short Breaks and Shared Lives. These service’s provide person-centred support to over 400 people with a learning disability and autism and/ or a physical disability. The service’s key objectives are to enable people, whose needs range from requiring a low to complex response, to live as independent lives as possible. </w:t>
      </w:r>
      <w:r>
        <w:rPr>
          <w:rFonts w:ascii="Arial" w:hAnsi="Arial" w:eastAsia="Arial" w:cs="Arial"/>
          <w:b/>
          <w:bCs/>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Although located within Provider Services the expectation is that the role will develop relationships and aligned delivery with key services such as, Preparation for Adulthood and Transitions, Learning Disability Social Work and Community Health Learning Disability Services.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In 2023 ASC launched an ambitious transformation programme for its learning disability and autism services. A key element of this transformation is the development and embedding of a workforce model that provides specialist training, knowledge and education to ensure people are receiving the best possible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This role holder will be the practitioner directly working with the workforce to develop and embed a practice model that promotes cultural change to create a flexible, highly skilled and sustainable workforce. A workforce that can directly meet the needs of people with a learning disability and or autism through the provision of a strengths-based and outcomes focused approach.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r>
        <w:rPr>
          <w:rFonts w:ascii="Arial" w:hAnsi="Arial" w:eastAsia="Arial" w:cs="Arial"/>
          <w:color w:val="000000"/>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r>
        <w:rPr>
          <w:rFonts w:ascii="Arial" w:hAnsi="Arial" w:eastAsia="Arial" w:cs="Arial"/>
          <w:color w:val="000000"/>
          <w:lang w:val="en-GB" w:eastAsia="en-GB" w:bidi="en-GB"/>
        </w:rPr>
        <w:t xml:space="preserve">The role holder will coach and train the workforce under the direction of the Positive Approaches Lead to be responsive to people’s needs including the ability to understand and deliver interventions to support people presenting distressed behaviours. The role holder will complete direct delivery of interventions with staff and citizens.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u w:val="single"/>
          <w:lang w:val="en-GB" w:eastAsia="en-GB" w:bidi="en-GB"/>
        </w:rPr>
      </w:pPr>
      <w:r>
        <w:rPr>
          <w:rFonts w:ascii="Arial" w:hAnsi="Arial" w:eastAsia="Arial" w:cs="Arial"/>
          <w:b/>
          <w:bCs/>
          <w:color w:val="000000"/>
          <w:u w:val="single"/>
          <w:lang w:val="en-US" w:eastAsia="en-US" w:bidi="en-US"/>
        </w:rPr>
        <w:t xml:space="preserve">Positive Approaches Practitioner</w:t>
      </w:r>
      <w:r>
        <w:rPr>
          <w:rFonts w:ascii="Arial" w:hAnsi="Arial" w:eastAsia="Arial" w:cs="Arial"/>
          <w:b/>
          <w:bCs/>
          <w:u w:val="single"/>
          <w:lang w:val="en-GB" w:eastAsia="en-GB" w:bidi="en-GB"/>
        </w:rPr>
        <w:t xml:space="preserve"> - Key Behaviours, Skills and Technical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55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Arial" w:hAnsi="Arial" w:eastAsia="Arial" w:cs="Arial"/>
          <w:b/>
          <w:bCs/>
          <w:color w:val="FF0000"/>
          <w:lang w:val="en-GB" w:eastAsia="en-GB" w:bidi="en-GB"/>
        </w:rPr>
      </w:pPr>
      <w:r>
        <w:rPr>
          <w:rFonts w:ascii="Arial" w:hAnsi="Arial" w:eastAsia="Arial" w:cs="Arial"/>
          <w:b/>
          <w:bCs/>
          <w:lang w:val="en-GB" w:eastAsia="en-GB" w:bidi="en-GB"/>
        </w:rPr>
        <w:t xml:space="preserve">Our Manchester Behaviours</w:t>
      </w:r>
      <w:r>
        <w:rPr>
          <w:rFonts w:ascii="Arial" w:hAnsi="Arial" w:eastAsia="Arial" w:cs="Arial"/>
          <w:lang w:val="en-GB" w:eastAsia="en-GB" w:bidi="en-GB"/>
        </w:rPr>
        <w:t xml:space="preserve"> </w:t>
      </w:r>
      <w:r>
        <w:rPr>
          <w:rFonts w:ascii="Arial" w:hAnsi="Arial" w:eastAsia="Arial" w:cs="Arial"/>
          <w:color w:val="000000"/>
          <w:lang w:val="en-GB" w:eastAsia="en-GB" w:bidi="en-GB"/>
        </w:rPr>
        <w:t xml:space="preserve"> 	</w:t>
      </w:r>
    </w:p>
    <w:p>
      <w:pPr>
        <w:pStyle w:val="Normal"/>
        <w:numPr>
          <w:ilvl w:val="0"/>
          <w:numId w:val="1"/>
        </w:num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color w:val="222222"/>
          <w:lang w:val="en-GB" w:eastAsia="en-GB" w:bidi="en-GB"/>
        </w:rPr>
      </w:pPr>
      <w:r>
        <w:rPr>
          <w:rFonts w:ascii="Arial" w:hAnsi="Arial" w:eastAsia="Arial" w:cs="Arial"/>
          <w:color w:val="222222"/>
          <w:lang w:val="en-GB" w:eastAsia="en-GB" w:bidi="en-GB"/>
        </w:rPr>
        <w:t xml:space="preserve">We are proud and passionate about Manchester</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take time to listen and understand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‘own it’ and we’re not afraid to try new things  </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work together and trust each other</w:t>
      </w:r>
    </w:p>
    <w:p>
      <w:pPr>
        <w:pStyle w:val="Normal"/>
        <w:widowControl w:val="off"/>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lang w:val="en-GB" w:eastAsia="en-GB" w:bidi="en-GB"/>
        </w:rPr>
        <w:t xml:space="preserve">We show that we value our differences and treat people fairly</w:t>
      </w: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General Skills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Communication Skills: </w:t>
      </w:r>
      <w:r>
        <w:rPr>
          <w:rFonts w:ascii="Arial" w:hAnsi="Arial" w:eastAsia="Arial" w:cs="Arial"/>
          <w:lang w:val="en-GB" w:eastAsia="en-GB" w:bidi="en-GB"/>
        </w:rPr>
        <w:t xml:space="preserve">Is able to effectively transfer key and complex information to all levels of staff, adapting the style of communication as necessary and ensuring that this information is understood.</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GB" w:eastAsia="en-GB" w:bidi="en-GB"/>
        </w:rPr>
      </w:pPr>
      <w:r>
        <w:rPr>
          <w:rFonts w:ascii="Arial" w:hAnsi="Arial" w:eastAsia="Arial" w:cs="Arial"/>
          <w:b/>
          <w:bCs/>
          <w:lang w:val="en-GB" w:eastAsia="en-GB" w:bidi="en-GB"/>
        </w:rPr>
        <w:t xml:space="preserve">Problem Solving and Decision Making: </w:t>
      </w:r>
      <w:r>
        <w:rPr>
          <w:rFonts w:ascii="Arial" w:hAnsi="Arial" w:eastAsia="Arial" w:cs="Arial"/>
          <w:lang w:val="en-GB" w:eastAsia="en-GB" w:bidi="en-GB"/>
        </w:rPr>
        <w:t xml:space="preserve">Ability to formulate independently a range of options for new or unfamiliar situations and to select the appropriate course of action to produce a logical, practical and acceptable solution. An ability to make independent decisions of a relatively uniform nature.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Creative Skills: </w:t>
      </w:r>
      <w:r>
        <w:rPr>
          <w:rFonts w:ascii="Arial" w:hAnsi="Arial" w:eastAsia="Arial" w:cs="Arial"/>
          <w:lang w:val="en-GB" w:eastAsia="en-GB" w:bidi="en-GB"/>
        </w:rPr>
        <w:t xml:space="preserve">Ability to find creative solutions where there are no existing parameters or procedural framework</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GB" w:eastAsia="en-GB" w:bidi="en-GB"/>
        </w:rPr>
      </w:pPr>
      <w:r>
        <w:rPr>
          <w:rFonts w:ascii="Arial" w:hAnsi="Arial" w:eastAsia="Arial" w:cs="Arial"/>
          <w:b/>
          <w:bCs/>
          <w:lang w:val="en-GB" w:eastAsia="en-GB" w:bidi="en-GB"/>
        </w:rPr>
        <w:t xml:space="preserve">Analytical Skills: </w:t>
      </w:r>
      <w:r>
        <w:rPr>
          <w:rFonts w:ascii="Arial" w:hAnsi="Arial" w:eastAsia="Arial" w:cs="Arial"/>
          <w:lang w:val="en-GB" w:eastAsia="en-GB" w:bidi="en-GB"/>
        </w:rPr>
        <w:t xml:space="preserve">Ability to identify patterns and trends that may impact on decisions and propose realistic conclusions identifying the risks and any assumptions made.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lang w:val="en-GB" w:eastAsia="en-GB" w:bidi="en-GB"/>
        </w:rPr>
      </w:pPr>
      <w:r>
        <w:rPr>
          <w:rFonts w:ascii="Arial" w:hAnsi="Arial" w:eastAsia="Arial" w:cs="Arial"/>
          <w:b/>
          <w:bCs/>
          <w:lang w:val="en-GB" w:eastAsia="en-GB" w:bidi="en-GB"/>
        </w:rPr>
        <w:t xml:space="preserve">People Management: </w:t>
      </w:r>
      <w:r>
        <w:rPr>
          <w:rFonts w:ascii="Arial" w:hAnsi="Arial" w:eastAsia="Arial" w:cs="Arial"/>
          <w:lang w:val="en-GB" w:eastAsia="en-GB" w:bidi="en-GB"/>
        </w:rPr>
        <w:t xml:space="preserve">Is able to inspire individuals to give their best to achieve a desired result and maintains effective relationships with individuals and the team as a whole, to ensure that the team is equipped to achieve objectives set according to the overall business need.</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Arial" w:hAnsi="Arial" w:eastAsia="Arial" w:cs="Arial"/>
          <w:b/>
          <w:bCs/>
          <w:lang w:val="en-GB" w:eastAsia="en-GB" w:bidi="en-GB"/>
        </w:rPr>
      </w:pPr>
      <w:r>
        <w:rPr>
          <w:rFonts w:ascii="Arial" w:hAnsi="Arial" w:eastAsia="Arial" w:cs="Arial"/>
          <w:b/>
          <w:bCs/>
          <w:lang w:val="en-GB" w:eastAsia="en-GB" w:bidi="en-GB"/>
        </w:rPr>
        <w:t xml:space="preserve">Planning and Organising: </w:t>
      </w:r>
      <w:r>
        <w:rPr>
          <w:rFonts w:ascii="Arial" w:hAnsi="Arial" w:eastAsia="Arial" w:cs="Arial"/>
          <w:lang w:val="en-GB" w:eastAsia="en-GB" w:bidi="en-GB"/>
        </w:rPr>
        <w:t xml:space="preserve">Excellent time management skills, creating own work schedules, prioritising, preparing in advance and setting realistic timescales for own self and others. Has the ability to visualise a sequence of actions needed to achieve a specific goal and how to estimate the resources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Arial" w:hAnsi="Arial" w:eastAsia="Arial" w:cs="Arial"/>
          <w:lang w:val="en-GB" w:eastAsia="en-GB" w:bidi="en-GB"/>
        </w:rPr>
      </w:pPr>
    </w:p>
    <w:p>
      <w:pPr>
        <w:pStyle w:val="Normal"/>
        <w:pBdr>
          <w:top w:val="single" w:sz="4" w:space="1" w:color="auto"/>
          <w:left w:val="single" w:sz="4" w:space="1" w:color="auto"/>
          <w:bottom w:val="single" w:sz="4" w:space="1" w:color="auto"/>
          <w:right w:val="single" w:sz="4" w:space="1" w:color="auto"/>
        </w:pBdr>
        <w:shd w:val="clear" w:color="auto" w:fill="00B0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FF0000"/>
          <w:lang w:val="en-GB" w:eastAsia="en-GB" w:bidi="en-GB"/>
        </w:rPr>
      </w:pPr>
      <w:r>
        <w:rPr>
          <w:rFonts w:ascii="Arial" w:hAnsi="Arial" w:eastAsia="Arial" w:cs="Arial"/>
          <w:b/>
          <w:bCs/>
          <w:lang w:val="en-GB" w:eastAsia="en-GB" w:bidi="en-GB"/>
        </w:rPr>
        <w:t xml:space="preserve">Technical Requirements (Role Specific)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Proven experience and knowledge of working with people with a Learning Disability and Autism including theoretical underpinning and experiential knowledge.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Proven experience from direct practice, training and/or qualifications in Learning disability and Autism interventions such as, Positive Behaviour Support, Active Support, Total Communication.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Experience in coaching, training and supporting staff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Willingness to consent to and apply for an enhanced Disclosure and Barring Service (DBS) Check.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r>
        <w:rPr>
          <w:rFonts w:ascii="Arial" w:hAnsi="Arial" w:eastAsia="Arial" w:cs="Arial"/>
          <w:lang w:val="en-GB" w:eastAsia="en-GB" w:bidi="en-GB"/>
        </w:rPr>
        <w:t xml:space="preserve">Willingness to travel to any location within the boundaries of the city of Manchester.</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en-GB" w:eastAsia="en-GB" w:bidi="en-GB"/>
        </w:rPr>
      </w:pPr>
    </w:p>
    <w:sectPr>
      <w:headerReference w:type="default" r:id="rId00013"/>
      <w:footerReference w:type="default" r:id="rId00014"/>
      <w:pgSz w:w="11906" w:h="16838"/>
      <w:pgMar w:top="1440" w:right="1133" w:bottom="1440" w:left="993" w:header="708" w:footer="1134"/>
      <w:pgNumType w:start="1"/>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rPr>
        <w:rFonts w:ascii="Arial" w:hAnsi="Arial" w:eastAsia="Arial" w:cs="Arial"/>
        <w:color w:val="808080"/>
        <w:sz w:val="22"/>
        <w:szCs w:val="22"/>
        <w:lang w:val="en-GB" w:eastAsia="en-GB" w:bidi="en-GB"/>
      </w:rPr>
    </w:pPr>
    <w:r>
      <w:drawing>
        <wp:anchor distT="0" distB="0" distL="114300" distR="114300" simplePos="0" relativeHeight="251665408" behindDoc="1" locked="0" layoutInCell="1" hidden="0" allowOverlap="1">
          <wp:simplePos x="0" y="0"/>
          <wp:positionH relativeFrom="column">
            <wp:posOffset>5031105</wp:posOffset>
          </wp:positionH>
          <wp:positionV relativeFrom="paragraph">
            <wp:posOffset>0</wp:posOffset>
          </wp:positionV>
          <wp:extent cx="1728470" cy="1728470"/>
          <wp:wrapNone/>
          <wp:docPr id="3" name="Picture 11"/>
          <a:graphic xmlns:a="http://schemas.openxmlformats.org/drawingml/2006/main">
            <a:graphicData uri="http://schemas.openxmlformats.org/drawingml/2006/picture">
              <pic:pic xmlns:pic="http://schemas.openxmlformats.org/drawingml/2006/picture">
                <pic:nvPicPr>
                  <pic:cNvPr id="0" name="Image 3"/>
                  <pic:cNvPicPr/>
                </pic:nvPicPr>
                <pic:blipFill>
                  <a:blip r:embed="rId00008"/>
                  <a:stretch>
                    <a:fillRect/>
                  </a:stretch>
                </pic:blipFill>
                <pic:spPr>
                  <a:xfrm>
                    <a:off x="0" y="0"/>
                    <a:ext cx="1728470" cy="1728470"/>
                  </a:xfrm>
                  <a:prstGeom prst="rect">
                    <a:avLst/>
                  </a:prstGeom>
                </pic:spPr>
              </pic:pic>
            </a:graphicData>
          </a:graphic>
        </wp:anchor>
      </w:drawing>
    </w:r>
    <w:r>
      <w:rPr>
        <w:rFonts w:ascii="Arial" w:hAnsi="Arial" w:eastAsia="Arial" w:cs="Arial"/>
        <w:color w:val="808080"/>
        <w:sz w:val="22"/>
        <w:szCs w:val="22"/>
        <w:lang w:val="en-GB" w:eastAsia="en-GB" w:bidi="en-GB"/>
      </w:rPr>
      <w:t xml:space="preserve">_______________________________________________________________________________</w:t>
    </w:r>
  </w:p>
  <w:p>
    <w:pPr>
      <w:pStyle w:val="Footer"/>
      <w:tabs>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rPr>
        <w:rFonts w:ascii="Calibri" w:hAnsi="Calibri" w:eastAsia="Calibri" w:cs="Calibri"/>
        <w:b/>
        <w:bCs/>
        <w:color w:val="808080"/>
        <w:sz w:val="20"/>
        <w:szCs w:val="20"/>
        <w:lang w:val="en-GB" w:eastAsia="en-GB" w:bidi="en-GB"/>
      </w:rPr>
    </w:pPr>
    <w:r>
      <w:drawing>
        <wp:anchor distT="0" distB="0" distL="114300" distR="114300" simplePos="0" relativeHeight="251662336" behindDoc="1" locked="0" layoutInCell="1" hidden="0" allowOverlap="1">
          <wp:simplePos x="0" y="0"/>
          <wp:positionH relativeFrom="column">
            <wp:posOffset>1335405</wp:posOffset>
          </wp:positionH>
          <wp:positionV relativeFrom="paragraph">
            <wp:posOffset>271780</wp:posOffset>
          </wp:positionV>
          <wp:extent cx="895350" cy="426720"/>
          <wp:wrapNone/>
          <wp:docPr id="4" name="Picture 1749629869"/>
          <a:graphic xmlns:a="http://schemas.openxmlformats.org/drawingml/2006/main">
            <a:graphicData uri="http://schemas.openxmlformats.org/drawingml/2006/picture">
              <pic:pic xmlns:pic="http://schemas.openxmlformats.org/drawingml/2006/picture">
                <pic:nvPicPr>
                  <pic:cNvPr id="0" name="Image 4"/>
                  <pic:cNvPicPr/>
                </pic:nvPicPr>
                <pic:blipFill>
                  <a:blip r:embed="rId00009"/>
                  <a:stretch>
                    <a:fillRect/>
                  </a:stretch>
                </pic:blipFill>
                <pic:spPr>
                  <a:xfrm>
                    <a:off x="0" y="0"/>
                    <a:ext cx="895350" cy="426720"/>
                  </a:xfrm>
                  <a:prstGeom prst="rect">
                    <a:avLst/>
                  </a:prstGeom>
                </pic:spPr>
              </pic:pic>
            </a:graphicData>
          </a:graphic>
        </wp:anchor>
      </w:drawing>
    </w:r>
    <w:r>
      <w:drawing>
        <wp:anchor distT="0" distB="0" distL="114300" distR="114300" simplePos="0" relativeHeight="251664384" behindDoc="1" locked="0" layoutInCell="1" hidden="0" allowOverlap="1">
          <wp:simplePos x="0" y="0"/>
          <wp:positionH relativeFrom="column">
            <wp:posOffset>4077970</wp:posOffset>
          </wp:positionH>
          <wp:positionV relativeFrom="paragraph">
            <wp:posOffset>250825</wp:posOffset>
          </wp:positionV>
          <wp:extent cx="1057275" cy="472440"/>
          <wp:wrapNone/>
          <wp:docPr id="5" name="Picture 8"/>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10"/>
                  <a:stretch>
                    <a:fillRect/>
                  </a:stretch>
                </pic:blipFill>
                <pic:spPr>
                  <a:xfrm>
                    <a:off x="0" y="0"/>
                    <a:ext cx="1057275" cy="472440"/>
                  </a:xfrm>
                  <a:prstGeom prst="rect">
                    <a:avLst/>
                  </a:prstGeom>
                </pic:spPr>
              </pic:pic>
            </a:graphicData>
          </a:graphic>
        </wp:anchor>
      </w:drawing>
    </w:r>
    <w:r>
      <w:drawing>
        <wp:anchor distT="0" distB="0" distL="114300" distR="114300" simplePos="0" relativeHeight="251661312" behindDoc="0" locked="0" layoutInCell="1" hidden="0" allowOverlap="1">
          <wp:simplePos x="0" y="0"/>
          <wp:positionH relativeFrom="column">
            <wp:posOffset>0</wp:posOffset>
          </wp:positionH>
          <wp:positionV relativeFrom="paragraph">
            <wp:posOffset>273685</wp:posOffset>
          </wp:positionV>
          <wp:extent cx="1028700" cy="315595"/>
          <wp:wrapSquare wrapText="bothSides"/>
          <wp:docPr id="6" name="Picture 1462123973"/>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11"/>
                  <a:stretch>
                    <a:fillRect/>
                  </a:stretch>
                </pic:blipFill>
                <pic:spPr>
                  <a:xfrm>
                    <a:off x="0" y="0"/>
                    <a:ext cx="1028700" cy="315595"/>
                  </a:xfrm>
                  <a:prstGeom prst="rect">
                    <a:avLst/>
                  </a:prstGeom>
                </pic:spPr>
              </pic:pic>
            </a:graphicData>
          </a:graphic>
        </wp:anchor>
      </w:drawing>
    </w:r>
    <w:r>
      <w:drawing>
        <wp:anchor distT="0" distB="0" distL="114300" distR="114300" simplePos="0" relativeHeight="251663360" behindDoc="1" locked="0" layoutInCell="1" hidden="0" allowOverlap="1">
          <wp:simplePos x="0" y="0"/>
          <wp:positionH relativeFrom="column">
            <wp:posOffset>2440305</wp:posOffset>
          </wp:positionH>
          <wp:positionV relativeFrom="paragraph">
            <wp:posOffset>331470</wp:posOffset>
          </wp:positionV>
          <wp:extent cx="1412875" cy="351790"/>
          <wp:wrapNone/>
          <wp:docPr id="7" name="Picture 7"/>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2"/>
                  <a:stretch>
                    <a:fillRect/>
                  </a:stretch>
                </pic:blipFill>
                <pic:spPr>
                  <a:xfrm>
                    <a:off x="0" y="0"/>
                    <a:ext cx="1412875" cy="351790"/>
                  </a:xfrm>
                  <a:prstGeom prst="rect">
                    <a:avLst/>
                  </a:prstGeom>
                </pic:spPr>
              </pic:pic>
            </a:graphicData>
          </a:graphic>
        </wp:anchor>
      </w:drawing>
    </w:r>
    <w:r>
      <w:rPr>
        <w:rFonts w:ascii="Calibri" w:hAnsi="Calibri" w:eastAsia="Calibri" w:cs="Calibri"/>
        <w:b/>
        <w:bCs/>
        <w:color w:val="808080"/>
        <w:sz w:val="20"/>
        <w:szCs w:val="20"/>
        <w:lang w:val="en-GB" w:eastAsia="en-GB" w:bidi="en-GB"/>
      </w:rPr>
      <w:t xml:space="preserve">Powered By:</w:t>
    </w: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r>
      <w:drawing>
        <wp:anchor distT="0" distB="0" distL="114300" distR="114300" simplePos="0" relativeHeight="251660288" behindDoc="0" locked="0" layoutInCell="1" hidden="0" allowOverlap="1">
          <wp:simplePos x="0" y="0"/>
          <wp:positionH relativeFrom="column">
            <wp:posOffset>4657090</wp:posOffset>
          </wp:positionH>
          <wp:positionV relativeFrom="paragraph">
            <wp:posOffset>0</wp:posOffset>
          </wp:positionV>
          <wp:extent cx="2046605" cy="426085"/>
          <wp:wrapNone/>
          <wp:docPr id="1" name="Picture 1070858937"/>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2046605" cy="426085"/>
                  </a:xfrm>
                  <a:prstGeom prst="rect">
                    <a:avLst/>
                  </a:prstGeom>
                </pic:spPr>
              </pic:pic>
            </a:graphicData>
          </a:graphic>
        </wp:anchor>
      </w:drawing>
    </w:r>
    <w:r>
      <w:drawing>
        <wp:anchor distT="0" distB="0" distL="114300" distR="114300" simplePos="0" relativeHeight="251659264" behindDoc="0" locked="0" layoutInCell="1" hidden="0" allowOverlap="1">
          <wp:simplePos x="0" y="0"/>
          <wp:positionH relativeFrom="column">
            <wp:posOffset>-467360</wp:posOffset>
          </wp:positionH>
          <wp:positionV relativeFrom="paragraph">
            <wp:posOffset>0</wp:posOffset>
          </wp:positionV>
          <wp:extent cx="2143760" cy="777240"/>
          <wp:wrapSquare wrapText="bothSides"/>
          <wp:docPr id="2" name="Picture 447453800"/>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7"/>
                  <a:stretch>
                    <a:fillRect/>
                  </a:stretch>
                </pic:blipFill>
                <pic:spPr>
                  <a:xfrm>
                    <a:off x="0" y="0"/>
                    <a:ext cx="2143760" cy="777240"/>
                  </a:xfrm>
                  <a:prstGeom prst="rect">
                    <a:avLst/>
                  </a:prstGeom>
                </pic:spPr>
              </pic:pic>
            </a:graphicData>
          </a:graphic>
        </wp:anchor>
      </w:drawing>
    </w:r>
  </w:p>
  <w:p>
    <w:pPr>
      <w:pStyle w:val="Normal"/>
      <w:tabs>
        <w:tab w:val="center" w:pos="4513"/>
        <w:tab w:val="right" w:pos="9026"/>
        <w:tab w:val="left" w:pos="9360"/>
        <w:tab w:val="left" w:pos="9779"/>
        <w:tab w:val="left" w:pos="10800"/>
        <w:tab w:val="left" w:pos="11520"/>
        <w:tab w:val="left" w:pos="12240"/>
        <w:tab w:val="left" w:pos="12960"/>
        <w:tab w:val="left" w:pos="13680"/>
        <w:tab w:val="left" w:pos="14400"/>
        <w:tab w:val="left" w:pos="15120"/>
        <w:tab w:val="left" w:pos="15840"/>
        <w:tab w:val="left" w:pos="16560"/>
        <w:tab w:val="left" w:pos="17280"/>
      </w:tabs>
      <w:jc w:val="right"/>
      <w:rPr>
        <w:color w:val="000000"/>
        <w:lang w:val="en-GB" w:eastAsia="en-GB" w:bidi="en-GB"/>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222222"/>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0"/>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480" w:after="120"/>
      <w:outlineLvl w:val="0"/>
    </w:pPr>
    <w:rPr>
      <w:b/>
      <w:bCs/>
      <w:sz w:val="48"/>
      <w:szCs w:val="48"/>
      <w:lang w:val="en-GB" w:eastAsia="en-GB" w:bidi="en-GB"/>
    </w:rPr>
  </w:style>
  <w:style w:type="paragraph" w:styleId="Heading2">
    <w:name w:val="heading 2"/>
    <w:basedOn w:val="Normal"/>
    <w:next w:val="Normal"/>
    <w:qFormat/>
    <w:pPr>
      <w:keepNext/>
      <w:keepLines/>
      <w:spacing w:before="360" w:after="80"/>
      <w:outlineLvl w:val="1"/>
    </w:pPr>
    <w:rPr>
      <w:b/>
      <w:bCs/>
      <w:sz w:val="36"/>
      <w:szCs w:val="36"/>
      <w:lang w:val="en-GB" w:eastAsia="en-GB" w:bidi="en-GB"/>
    </w:rPr>
  </w:style>
  <w:style w:type="paragraph" w:styleId="Heading3">
    <w:name w:val="heading 3"/>
    <w:basedOn w:val="Normal"/>
    <w:next w:val="Normal"/>
    <w:qFormat/>
    <w:pPr>
      <w:keepNext/>
      <w:keepLines/>
      <w:spacing w:before="280" w:after="80"/>
      <w:outlineLvl w:val="2"/>
    </w:pPr>
    <w:rPr>
      <w:b/>
      <w:bCs/>
      <w:sz w:val="28"/>
      <w:szCs w:val="28"/>
      <w:lang w:val="en-GB" w:eastAsia="en-GB" w:bidi="en-GB"/>
    </w:rPr>
  </w:style>
  <w:style w:type="paragraph" w:styleId="Heading4">
    <w:name w:val="heading 4"/>
    <w:basedOn w:val="Normal"/>
    <w:next w:val="Normal"/>
    <w:qFormat/>
    <w:pPr>
      <w:keepNext/>
      <w:keepLines/>
      <w:spacing w:before="240" w:after="40"/>
      <w:outlineLvl w:val="3"/>
    </w:pPr>
    <w:rPr>
      <w:b/>
      <w:bCs/>
      <w:lang w:val="en-GB" w:eastAsia="en-GB" w:bidi="en-GB"/>
    </w:rPr>
  </w:style>
  <w:style w:type="paragraph" w:styleId="Heading5">
    <w:name w:val="heading 5"/>
    <w:basedOn w:val="Normal"/>
    <w:next w:val="Normal"/>
    <w:qFormat/>
    <w:pPr>
      <w:keepNext/>
      <w:keepLines/>
      <w:spacing w:before="220" w:after="40"/>
      <w:outlineLvl w:val="4"/>
    </w:pPr>
    <w:rPr>
      <w:b/>
      <w:bCs/>
      <w:sz w:val="22"/>
      <w:szCs w:val="22"/>
      <w:lang w:val="en-GB" w:eastAsia="en-GB" w:bidi="en-GB"/>
    </w:rPr>
  </w:style>
  <w:style w:type="paragraph" w:styleId="Heading6">
    <w:name w:val="heading 6"/>
    <w:basedOn w:val="Normal"/>
    <w:next w:val="Normal"/>
    <w:qFormat/>
    <w:pPr>
      <w:keepNext/>
      <w:keepLines/>
      <w:spacing w:before="200" w:after="40"/>
      <w:outlineLvl w:val="5"/>
    </w:pPr>
    <w:rPr>
      <w:b/>
      <w:bCs/>
      <w:sz w:val="20"/>
      <w:szCs w:val="20"/>
      <w:lang w:val="en-GB" w:eastAsia="en-GB" w:bidi="en-GB"/>
    </w:rPr>
  </w:style>
  <w:style w:type="paragraph" w:styleId="Title">
    <w:name w:val="Title"/>
    <w:basedOn w:val="Normal"/>
    <w:next w:val="Normal"/>
    <w:qFormat/>
    <w:pPr>
      <w:keepNext/>
      <w:keepLines/>
      <w:spacing w:before="480" w:after="120"/>
    </w:pPr>
    <w:rPr>
      <w:b/>
      <w:bCs/>
      <w:sz w:val="72"/>
      <w:szCs w:val="72"/>
      <w:lang w:val="en-GB" w:eastAsia="en-GB" w:bidi="en-GB"/>
    </w:rPr>
  </w:style>
  <w:style w:type="paragraph" w:styleId="Subtitle">
    <w:name w:val="Subtitle"/>
    <w:basedOn w:val="Normal"/>
    <w:next w:val="Normal"/>
    <w:qFormat/>
    <w:pPr>
      <w:keepNext/>
      <w:keepLines/>
      <w:spacing w:before="360" w:after="80"/>
    </w:pPr>
    <w:rPr>
      <w:rFonts w:ascii="Georgia" w:hAnsi="Georgia" w:eastAsia="Georgia" w:cs="Georgia"/>
      <w:i/>
      <w:iCs/>
      <w:color w:val="666666"/>
      <w:sz w:val="48"/>
      <w:szCs w:val="48"/>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CommentText">
    <w:name w:val="annotation text"/>
    <w:basedOn w:val="Normal"/>
    <w:next w:val="CommentText"/>
    <w:qFormat/>
    <w:pPr/>
    <w:rPr>
      <w:sz w:val="20"/>
      <w:szCs w:val="20"/>
      <w:lang w:val="en-GB" w:eastAsia="en-GB" w:bidi="en-GB"/>
    </w:rPr>
  </w:style>
  <w:style w:type="character" w:styleId="Header Char" w:customStyle="1">
    <w:name w:val="Header Char"/>
    <w:qFormat/>
    <w:rPr>
      <w:rtl w:val="off"/>
    </w:rPr>
  </w:style>
  <w:style w:type="character" w:styleId="Footer Char" w:customStyle="1">
    <w:name w:val="Footer Char"/>
    <w:qFormat/>
    <w:rPr>
      <w:rtl w:val="off"/>
    </w:rPr>
  </w:style>
  <w:style w:type="character" w:styleId="LineNumber">
    <w:name w:val="line number"/>
    <w:qFormat/>
    <w:rPr>
      <w:rtl w:val="off"/>
    </w:rPr>
  </w:style>
  <w:style w:type="character" w:styleId="Comment Text Char" w:customStyle="1">
    <w:name w:val="Comment Text Char"/>
    <w:qFormat/>
    <w:rPr>
      <w:sz w:val="20"/>
      <w:szCs w:val="20"/>
      <w:rtl w:val="off"/>
    </w:rPr>
  </w:style>
  <w:style w:type="character" w:styleId="CommentReference">
    <w:name w:val="annotation reference"/>
    <w:qFormat/>
    <w:rPr>
      <w:sz w:val="16"/>
      <w:szCs w:val="16"/>
      <w:rtl w:val="off"/>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word/_rels/footer0001.xml.rels><?xml version="1.0" encoding="UTF-8" standalone="yes"?><Relationships xmlns="http://schemas.openxmlformats.org/package/2006/relationships">
	<Relationship Id="rId00008" Type="http://schemas.openxmlformats.org/officeDocument/2006/relationships/image" Target="media/image0003.png"/>
	<Relationship Id="rId00009" Type="http://schemas.openxmlformats.org/officeDocument/2006/relationships/image" Target="media/image0004.png"/>
	<Relationship Id="rId00010" Type="http://schemas.openxmlformats.org/officeDocument/2006/relationships/image" Target="media/image0005.png"/>
	<Relationship Id="rId00011" Type="http://schemas.openxmlformats.org/officeDocument/2006/relationships/image" Target="media/image0006.png"/>
	<Relationship Id="rId00012" Type="http://schemas.openxmlformats.org/officeDocument/2006/relationships/image" Target="media/image0007.png"/>
</Relationships>
</file>

<file path=word/_rels/header0001.xml.rels><?xml version="1.0" encoding="UTF-8" standalone="yes"?><Relationships xmlns="http://schemas.openxmlformats.org/package/2006/relationships">
	<Relationship Id="rId00006" Type="http://schemas.openxmlformats.org/officeDocument/2006/relationships/image" Target="media/image0001.png"/>
	<Relationship Id="rId00007" Type="http://schemas.openxmlformats.org/officeDocument/2006/relationships/image" Target="media/image0002.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Mahin Mahmood</dc:creator>
  <dcterms:created xsi:type="dcterms:W3CDTF">2026-07-13T13:20:00Z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0x010100D8BF812CA9E5794280DAC7AD3A713CE8</vt:lpwstr>
  </property>
</Properties>
</file>