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r>
        <w:rPr>
          <w:lang w:val="en-GB" w:eastAsia="en-GB" w:bidi="en-GB"/>
        </w:rPr>
        <w:t xml:space="preserve"> </w:t>
      </w:r>
      <w:r>
        <w:rPr>
          <w:b/>
          <w:bCs/>
          <w:sz w:val="20"/>
          <w:szCs w:val="20"/>
          <w:lang w:val="en-GB" w:eastAsia="en-GB" w:bidi="en-GB"/>
        </w:rPr>
        <w:t xml:space="preserve">People. Pride. Place.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auto"/>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Manchester City Council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Role Profile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Social Worker (Discharge to Assess), Grade 7</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Adults’ Social Work Service, Children and Families Directorate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Reports to: Senior Social Worker/Team Manager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Job Family: People Care and Support Direct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Key Role Descriptors: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The role holder will work to provide direct support for service users and their families in accordance with statutory responsibilities and local and national policies and procedures in order to secure positive outcomes for the customer.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The role holder will work with City Council colleagues, partner agencies and stakeholders to effectively manage and plan for present and future risk situations of service users.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The role holder will assess and plan person-centred packages to meet the individual needs of service users to promote their independence.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The role holder will supervise and develop students and trainees and actively contribute to the development of other staff.</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Key Role Accountabilities: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Develop and manage a relationship to support service users and their families in line with statutory obligations through complex decision making to allow service users to access improved future opportunities.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In conjunction with partner agencies and stakeholders, effectively assess and plan service users’ individual needs to ensure positive outcomes for Manchester residents.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Develop positive and effective solutions in all aspects of service delivery and engagement, focusing on the quality of outcomes for service users.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Collaborate with internal and external colleagues and stakeholders to actively contribute to the development and delivery of the service within Manchester City Council and partner organisations.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Engage with stakeholders in the private and public sectors and across local communities to encourage a collaborative and transparent approach that promotes service users needs across a range of existing and new initiatives.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0"/>
          <w:szCs w:val="20"/>
          <w:lang w:val="en-GB" w:eastAsia="en-GB" w:bidi="en-GB"/>
        </w:rPr>
      </w:pPr>
      <w:r>
        <w:rPr>
          <w:rFonts w:ascii="Arial" w:hAnsi="Arial" w:eastAsia="Arial" w:cs="Arial"/>
          <w:color w:val="auto"/>
          <w:sz w:val="23"/>
          <w:szCs w:val="23"/>
          <w:lang w:val="en-GB" w:eastAsia="en-GB" w:bidi="en-GB"/>
        </w:rPr>
        <w:t xml:space="preserve">Efficiently maintain accurate and appropriate records in accordance with statutory targets and City Council, local and national policy and procedures to evidence achievement of service targets and improvements in delivery.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p>
    <w:p>
      <w:pPr>
        <w:pStyle w:val="Default"/>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Personal commitment to continuous self development and service improvement.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Through personal example, open commitment and clear action, ensure diversity is positively valued, resulting in equal access and treatment in employment, service delivery and communications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0"/>
          <w:szCs w:val="20"/>
          <w:lang w:val="en-GB" w:eastAsia="en-GB" w:bidi="en-GB"/>
        </w:rPr>
      </w:pPr>
      <w:r>
        <w:rPr>
          <w:rFonts w:ascii="Arial" w:hAnsi="Arial" w:eastAsia="Arial" w:cs="Arial"/>
          <w:b/>
          <w:bCs/>
          <w:color w:val="auto"/>
          <w:sz w:val="23"/>
          <w:szCs w:val="23"/>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auto"/>
          <w:lang w:val="en-GB" w:eastAsia="en-GB" w:bidi="en-GB"/>
        </w:rPr>
      </w:pPr>
    </w:p>
    <w:p>
      <w:pPr>
        <w:pStyle w:val="Default"/>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Role Portfolio: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The Discharge to Assess Team, is a multi-disciplinary team whom are responsible for supporting timely and safe transfer of care from Acute and non-acute beds when citizens are medically fit for discharge.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The role-holder will work across the hospital setting, Intermediate care Units and the Community, working in partnership with health colleagues, to assess and plan the transfer of care, promoting independence ensuring a strength based approach at all times.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The role holder will be expected to work independently, using their own initiative, evidencing decisions made in a timely manner.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0"/>
          <w:szCs w:val="20"/>
          <w:lang w:val="en-GB" w:eastAsia="en-GB" w:bidi="en-GB"/>
        </w:rPr>
      </w:pPr>
      <w:r>
        <w:rPr>
          <w:rFonts w:ascii="Arial" w:hAnsi="Arial" w:eastAsia="Arial" w:cs="Arial"/>
          <w:color w:val="auto"/>
          <w:sz w:val="25"/>
          <w:szCs w:val="25"/>
          <w:lang w:val="en-GB" w:eastAsia="en-GB" w:bidi="en-GB"/>
        </w:rPr>
        <w:t xml:space="preserve">The role holder will be accountable for highly complex decision making across a range of social work duties and responsibilities.</w:t>
      </w:r>
      <w:r>
        <w:rPr>
          <w:rFonts w:ascii="Arial" w:hAnsi="Arial" w:eastAsia="Arial" w:cs="Arial"/>
          <w:b/>
          <w:bCs/>
          <w:color w:val="auto"/>
          <w:sz w:val="20"/>
          <w:szCs w:val="20"/>
          <w:lang w:val="en-GB" w:eastAsia="en-GB" w:bidi="en-GB"/>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p>
    <w:p>
      <w:pPr>
        <w:pStyle w:val="Default"/>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szCs w:val="23"/>
          <w:lang w:val="en-GB" w:eastAsia="en-GB" w:bidi="en-GB"/>
        </w:rPr>
      </w:pPr>
      <w:r>
        <w:rPr>
          <w:rFonts w:ascii="Arial" w:hAnsi="Arial" w:eastAsia="Arial" w:cs="Arial"/>
          <w:b/>
          <w:bCs/>
          <w:color w:val="auto"/>
          <w:sz w:val="23"/>
          <w:szCs w:val="23"/>
          <w:lang w:val="en-GB" w:eastAsia="en-GB" w:bidi="en-GB"/>
        </w:rPr>
        <w:t xml:space="preserve">Key Behaviours, Skills and Technical Requirements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Our Manchester Behaviours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3"/>
        <w:ind w:left="360" w:hanging="360"/>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We are proud and passionate about Manchester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3"/>
        <w:ind w:left="360" w:hanging="360"/>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We take time to listen and understand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3"/>
        <w:ind w:left="360" w:hanging="360"/>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We ‘own it’ and we’re not afraid to try new things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We work together and trust each other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We show that we value our differences and treat people fairly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General Skills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Communication Skills: </w:t>
      </w:r>
      <w:r>
        <w:rPr>
          <w:rFonts w:ascii="Arial" w:hAnsi="Arial" w:eastAsia="Arial" w:cs="Arial"/>
          <w:color w:val="auto"/>
          <w:sz w:val="23"/>
          <w:szCs w:val="23"/>
          <w:lang w:val="en-GB" w:eastAsia="en-GB" w:bidi="en-GB"/>
        </w:rPr>
        <w:t xml:space="preserve">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area, negotiating riskier demands.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Planning and Organising Skills: </w:t>
      </w:r>
      <w:r>
        <w:rPr>
          <w:rFonts w:ascii="Arial" w:hAnsi="Arial" w:eastAsia="Arial" w:cs="Arial"/>
          <w:color w:val="auto"/>
          <w:sz w:val="23"/>
          <w:szCs w:val="23"/>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Analytical Skills: </w:t>
      </w:r>
      <w:r>
        <w:rPr>
          <w:rFonts w:ascii="Arial" w:hAnsi="Arial" w:eastAsia="Arial" w:cs="Arial"/>
          <w:color w:val="auto"/>
          <w:sz w:val="23"/>
          <w:szCs w:val="23"/>
          <w:lang w:val="en-GB" w:eastAsia="en-GB" w:bidi="en-GB"/>
        </w:rPr>
        <w:t xml:space="preserve">Ability to absorb, understand and quickly assimilate complex information and complex and compare information from a number of different sources. Ability to identify patterns and trends that may impact on decisions and propose realistic conclusions identifying the risks and any assumptions made.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Problem Solving and Decision Making Skills: </w:t>
      </w:r>
      <w:r>
        <w:rPr>
          <w:rFonts w:ascii="Arial" w:hAnsi="Arial" w:eastAsia="Arial" w:cs="Arial"/>
          <w:color w:val="auto"/>
          <w:sz w:val="23"/>
          <w:szCs w:val="23"/>
          <w:lang w:val="en-GB" w:eastAsia="en-GB" w:bidi="en-GB"/>
        </w:rPr>
        <w:t xml:space="preserve">Ability to formulate independently a range of options for new or unfamiliar situations and to select the appropriate course of action to produce a logical, practical and acceptable solution. An ability to make independent decision of a relatively uniform nature.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ICT Skills: </w:t>
      </w:r>
      <w:r>
        <w:rPr>
          <w:rFonts w:ascii="Arial" w:hAnsi="Arial" w:eastAsia="Arial" w:cs="Arial"/>
          <w:color w:val="auto"/>
          <w:sz w:val="23"/>
          <w:szCs w:val="23"/>
          <w:lang w:val="en-GB" w:eastAsia="en-GB" w:bidi="en-GB"/>
        </w:rPr>
        <w:t xml:space="preserve">Skills to use ICT systems to obtain and analyse data and present it effectively through a variety of ICT channels.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3"/>
          <w:szCs w:val="23"/>
          <w:lang w:val="en-GB" w:eastAsia="en-GB" w:bidi="en-GB"/>
        </w:rPr>
      </w:pP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eastAsia="Arial" w:cs="Arial"/>
          <w:color w:val="auto"/>
          <w:sz w:val="23"/>
          <w:szCs w:val="23"/>
          <w:lang w:val="en-GB" w:eastAsia="en-GB" w:bidi="en-GB"/>
        </w:rPr>
      </w:pPr>
      <w:r>
        <w:rPr>
          <w:rFonts w:ascii="Arial" w:hAnsi="Arial" w:eastAsia="Arial" w:cs="Arial"/>
          <w:b/>
          <w:bCs/>
          <w:color w:val="auto"/>
          <w:sz w:val="23"/>
          <w:szCs w:val="23"/>
          <w:lang w:val="en-GB" w:eastAsia="en-GB" w:bidi="en-GB"/>
        </w:rPr>
        <w:t xml:space="preserve">Technical Requirements (Role Specific)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
        <w:ind w:left="360" w:hanging="360"/>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Social Work Qualification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
        <w:ind w:left="360" w:hanging="360"/>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Willing to consent to and apply for an enhanced (DBS) disclosure check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
        <w:ind w:left="360" w:hanging="360"/>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Registered with the Health Care Professionals Council (HCPC) </w:t>
      </w:r>
    </w:p>
    <w:p>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eastAsia="Arial" w:cs="Arial"/>
          <w:color w:val="auto"/>
          <w:sz w:val="23"/>
          <w:szCs w:val="23"/>
          <w:lang w:val="en-GB" w:eastAsia="en-GB" w:bidi="en-GB"/>
        </w:rPr>
      </w:pPr>
      <w:r>
        <w:rPr>
          <w:rFonts w:ascii="Arial" w:hAnsi="Arial" w:eastAsia="Arial" w:cs="Arial"/>
          <w:color w:val="auto"/>
          <w:sz w:val="23"/>
          <w:szCs w:val="23"/>
          <w:lang w:val="en-GB" w:eastAsia="en-GB" w:bidi="en-GB"/>
        </w:rPr>
        <w:t xml:space="preserve">Willingness to travel to any location within the boundaries of the City of Manchester.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3"/>
          <w:szCs w:val="23"/>
          <w:lang w:val="en-GB" w:eastAsia="en-GB" w:bidi="en-GB"/>
        </w:rPr>
      </w:pPr>
    </w:p>
    <w:sectPr>
      <w:pgSz w:w="11906" w:h="17338"/>
      <w:pgMar w:top="1207" w:right="852" w:bottom="621" w:left="1185"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3"/>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n"/>
        <w:i w:val="off"/>
        <w:strike w:val="off"/>
        <w:color w:val="auto"/>
        <w:position w:val="0"/>
        <w:sz w:val="23"/>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ahoma" w:hAnsi="Tahoma" w:eastAsia="Tahoma" w:cs="Tahoma"/>
      <w:color w:val="000000"/>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gemma.taylorbarrows</dc:creator>
  <dcterms:created xsi:type="dcterms:W3CDTF">2021-04-20T09:34:00Z</dcterms:created>
</cp:coreProperties>
</file>