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Operations Manager (Customer Services),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Bereavement Services, Business Units,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Bereavement Services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Front Line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effective management and coordination to a front line operational team responsible for the delivery of high quality services, ensuring that resources are deployed effectively and that the team is focused on the achievement of service objectives.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plan, implement and manage locally focussed programmes of work, translating strategy into action, and ensuring local, regional and national priorities are reflected and incorporated.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effectively liaise and engage with residents, community groups and businesses to safeguard neighbourhoods and promote the authority’s aims, objectives and values.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develop strong working relationships with partners to ensure that authority services are working to the highest standards to provide a quality environment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Provide effective management, coordination and direction to the team, managing responsive and proactive activity and communicate the authority’s vision, corporate values, aims and objectives.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Develop and motivate staff to achieve organisational priorities and contribute positively to the development of a customer focused culture.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Work closely with other managers, services and key partners, to ensure effective integrated working within the team and across teams and to ensure a consistent approach is taken to work activity across local areas.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Fully consider local priorities and the needs and aspirations of residents, consulting and involving all sections of the community while setting local plans.  Where appropriate, develop and coordinate stakeholder groups including cross directorate partners, including voluntary community sector, public, private and statutory sector partners in the delivery of this objective.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Represent the authority in establishing and maintaining local connections, building trust and confidence with members, residents, businesses and other stakeholders, and communicating and promoting initiatives.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Be proactive in identifying and supporting the implementation of change, modernisation and improvements in support of organisational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Block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color w:val="auto"/>
          <w:lang w:val="en-GB" w:eastAsia="en-GB" w:bidi="en-GB"/>
        </w:rPr>
      </w:pPr>
      <w:r>
        <w:rPr>
          <w:color w:val="auto"/>
          <w:lang w:val="en-GB" w:eastAsia="en-GB" w:bidi="en-GB"/>
        </w:rPr>
        <w:t xml:space="preserve">Lead on identifying opportunities to attract external funding and to monitor the impact of funding to ensure that the intended outcomes are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The roleholder will be expected to effectively co-ordinate resources to support the principals of ‘joined up’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br w:type="page"/>
      </w: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eastAsia="Arial" w:cs="Arial"/>
          <w:lang w:val="en-GB" w:eastAsia="en-GB" w:bidi="en-GB"/>
        </w:rPr>
      </w:pPr>
      <w:r>
        <w:rPr>
          <w:rFonts w:ascii="Arial" w:hAnsi="Arial" w:eastAsia="Arial" w:cs="Arial"/>
          <w:lang w:val="en-GB" w:eastAsia="en-GB" w:bidi="en-GB"/>
        </w:rPr>
        <w:t xml:space="preserve">Bereavement Services manage the Council’s five cemeteries and one crematorium, providing in the region of 3,000 burial and cremation services each year along with a diverse range of memorialisation products and features.  The service also provides and continually updates an online records facility. It is responsible for maintaining the infrastructure of 100 hectares of green space, feature gardens, perimeter walls, fences and gates, chapels and operational buildings, drainage systems and road / pathways.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eastAsia="Arial" w:cs="Arial"/>
          <w:lang w:val="en-GB" w:eastAsia="en-GB" w:bidi="en-GB"/>
        </w:rPr>
      </w:pPr>
      <w:r>
        <w:rPr>
          <w:rFonts w:ascii="Arial" w:hAnsi="Arial" w:eastAsia="Arial" w:cs="Arial"/>
          <w:lang w:val="en-GB" w:eastAsia="en-GB" w:bidi="en-GB"/>
        </w:rPr>
        <w:t xml:space="preserve">The service operates as a business unit, is required to cover all costs and meet financial targets.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eastAsia="Arial" w:cs="Arial"/>
          <w:lang w:val="en-GB" w:eastAsia="en-GB" w:bidi="en-GB"/>
        </w:rPr>
      </w:pPr>
      <w:r>
        <w:rPr>
          <w:rFonts w:ascii="Arial" w:hAnsi="Arial" w:eastAsia="Arial" w:cs="Arial"/>
          <w:lang w:val="en-GB" w:eastAsia="en-GB" w:bidi="en-GB"/>
        </w:rPr>
        <w:t xml:space="preserve">Community led Friends’ Groups play a key role influencing improvement projects and maintenance regimes and the service also offers a regular flow of work placement opportunities to partner agencies working with Manchester residents.  Bereavement Services’ partners and customers include the following: the bereaved, cemetery visitors, funeral directors, memorial masons, GPs, hospitals, schools, and community, ecology and history groups.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has lead responsibility for the interface with stakeholders and partners, the delivery of a high standard of customer care and managing all administration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Responsible for leading the front-line delivery of a high standard of customer care in relation to burials, cremations &amp; memorials, implementing and managing relevant administrative processes and undertaking stakeholder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Ensuring the customer care function is operating robust processes that are up to date with current industry standards and legislation.  Ensuring staff training is provided and kept up to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Liaising with key stakeholders to provide an efficient high standard of service to the bereaved, including funeral directors, ministers, contractors and suppliers, local communities, faith groups, and Friends groups.  Working with local ward councillors and members to support service delivery in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Managing and resolving incoming complaints and ensuring that where appropriate, lessons are learnt, and feedback is acted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Managing financial budgets ensuring spend is appropriate, in line with financial regulations and value for money.  Managing service income and managing the relevant databases, IT systems, digital and manual records.  Providing financial, statistical and statutory reporting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Line managing and leading staff within the Customer care function, providing management support and leadership.  Working closely with managers of other teams within the service to ensure good relationships and smooth, consistent delivery of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US" w:eastAsia="en-US" w:bidi="en-US"/>
        </w:rPr>
      </w:pPr>
      <w:r>
        <w:rPr>
          <w:rFonts w:ascii="Arial" w:hAnsi="Arial" w:eastAsia="Arial" w:cs="Arial"/>
          <w:color w:val="000000"/>
          <w:lang w:val="en-GB" w:eastAsia="en-GB" w:bidi="en-GB"/>
        </w:rPr>
        <w:t xml:space="preserve">Supporting the development and delivery of overall service strategies and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 the reduction of carbon and implementation of climate change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lang w:val="en-GB" w:eastAsia="en-GB" w:bidi="en-GB"/>
        </w:rPr>
        <w:br w:type="page"/>
      </w:r>
      <w:r>
        <w:rPr>
          <w:rFonts w:ascii="Arial" w:hAnsi="Arial" w:eastAsia="Arial" w:cs="Arial"/>
          <w:b/>
          <w:bCs/>
          <w:u w:val="single"/>
          <w:lang w:val="en-GB" w:eastAsia="en-GB" w:bidi="en-GB"/>
        </w:rPr>
        <w:t xml:space="preserve">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Communication: </w:t>
      </w:r>
      <w:r>
        <w:rPr>
          <w:rFonts w:ascii="Arial" w:hAnsi="Arial" w:eastAsia="Arial" w:cs="Arial"/>
          <w:sz w:val="22"/>
          <w:szCs w:val="22"/>
          <w:lang w:val="en-GB" w:eastAsia="en-GB" w:bidi="en-GB"/>
        </w:rPr>
        <w:t xml:space="preserve">Ability to advise others and deal with sensitive issues in difficult situations inside and outside own area, negotiating riskier demands.  Is able to effectively transfer key and complex information to all levels of staff, adapting the style of communication as necessary and ensuring that this information is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Analytical Skills: </w:t>
      </w:r>
      <w:r>
        <w:rPr>
          <w:rFonts w:ascii="Arial" w:hAnsi="Arial" w:eastAsia="Arial" w:cs="Arial"/>
          <w:sz w:val="22"/>
          <w:szCs w:val="22"/>
          <w:lang w:val="en-GB" w:eastAsia="en-GB" w:bidi="en-GB"/>
        </w:rPr>
        <w:t xml:space="preserve">Ability to translate analyses into business cases which define potential benefits, options for achieving the benefits development of new or changed processes, and associated business risks.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sz w:val="22"/>
          <w:szCs w:val="22"/>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sz w:val="22"/>
          <w:szCs w:val="22"/>
          <w:lang w:val="en-GB" w:eastAsia="en-GB" w:bidi="en-GB"/>
        </w:rPr>
        <w:t xml:space="preserve">Strong decision making skills with the ability to resolve complex issues</w:t>
      </w:r>
      <w:r>
        <w:rPr>
          <w:rFonts w:ascii="Arial" w:hAnsi="Arial" w:eastAsia="Arial" w:cs="Arial"/>
          <w:b/>
          <w:bCs/>
          <w:sz w:val="22"/>
          <w:szCs w:val="22"/>
          <w:lang w:val="en-GB" w:eastAsia="en-GB" w:bidi="en-GB"/>
        </w:rPr>
        <w:t xml:space="preserve"> </w:t>
      </w:r>
      <w:r>
        <w:rPr>
          <w:rFonts w:ascii="Arial" w:hAnsi="Arial" w:eastAsia="Arial" w:cs="Arial"/>
          <w:sz w:val="22"/>
          <w:szCs w:val="22"/>
          <w:lang w:val="en-GB" w:eastAsia="en-GB" w:bidi="en-GB"/>
        </w:rPr>
        <w:t xml:space="preserve">in a pressurised environment.  Continually performs at high levels of achievement, demonstrating tenacity, energy and commitment to achieve desired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b/>
          <w:bCs/>
          <w:sz w:val="22"/>
          <w:szCs w:val="22"/>
          <w:lang w:val="en-GB" w:eastAsia="en-GB" w:bidi="en-GB"/>
        </w:rPr>
      </w:pPr>
      <w:r>
        <w:rPr>
          <w:rFonts w:ascii="Arial" w:hAnsi="Arial" w:eastAsia="Arial" w:cs="Arial"/>
          <w:b/>
          <w:bCs/>
          <w:lang w:val="en-GB" w:eastAsia="en-GB" w:bidi="en-GB"/>
        </w:rPr>
        <w:t xml:space="preserve">Creative Skills: </w:t>
      </w:r>
      <w:r>
        <w:rPr>
          <w:rFonts w:ascii="Arial" w:hAnsi="Arial" w:eastAsia="Arial" w:cs="Arial"/>
          <w:sz w:val="22"/>
          <w:szCs w:val="22"/>
          <w:lang w:val="en-GB" w:eastAsia="en-GB" w:bidi="en-GB"/>
        </w:rPr>
        <w:t xml:space="preserve">Ability to find creative solutions where there are no existing parameters or procedural framework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Strategic Thinking: </w:t>
      </w:r>
      <w:r>
        <w:rPr>
          <w:rFonts w:ascii="Arial" w:hAnsi="Arial" w:eastAsia="Arial" w:cs="Arial"/>
          <w:sz w:val="22"/>
          <w:szCs w:val="22"/>
          <w:lang w:val="en-GB" w:eastAsia="en-GB" w:bidi="en-GB"/>
        </w:rPr>
        <w:t xml:space="preserve">Ability to contribute to the development, implementation and evaluation of strategy to shape future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Financial Management: </w:t>
      </w:r>
      <w:r>
        <w:rPr>
          <w:rFonts w:ascii="Arial" w:hAnsi="Arial" w:eastAsia="Arial" w:cs="Arial"/>
          <w:sz w:val="22"/>
          <w:szCs w:val="22"/>
          <w:lang w:val="en-GB" w:eastAsia="en-GB" w:bidi="en-GB"/>
        </w:rPr>
        <w:t xml:space="preserve">Ability to monitor and maintain expenditure, ensuring that financial targets are met, and being accountable for any areas where budget and expenditure exceed their agreed tolerances.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numPr>
          <w:ilvl w:val="0"/>
          <w:numId w:val="3"/>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sz w:val="22"/>
          <w:szCs w:val="22"/>
          <w:lang w:val="en-GB" w:eastAsia="en-GB" w:bidi="en-GB"/>
        </w:rPr>
      </w:pPr>
      <w:r>
        <w:rPr>
          <w:rFonts w:ascii="Arial" w:hAnsi="Arial" w:eastAsia="Arial" w:cs="Arial"/>
          <w:b/>
          <w:bCs/>
          <w:lang w:val="en-GB" w:eastAsia="en-GB" w:bidi="en-GB"/>
        </w:rPr>
        <w:t xml:space="preserve">People Management: </w:t>
      </w:r>
      <w:r>
        <w:rPr>
          <w:rFonts w:ascii="Arial" w:hAnsi="Arial" w:eastAsia="Arial" w:cs="Arial"/>
          <w:sz w:val="22"/>
          <w:szCs w:val="22"/>
          <w:lang w:val="en-GB" w:eastAsia="en-GB" w:bidi="en-GB"/>
        </w:rPr>
        <w:t xml:space="preserve">Is able to inspire individuals to give their best to achieve a desired result and maintains effective relationships with individuals and the team as a whole, to ensure that the team is equipped to achieve objectives set according to the overall business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4"/>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lang w:val="en-GB" w:eastAsia="en-GB" w:bidi="en-GB"/>
        </w:rPr>
      </w:pPr>
      <w:r>
        <w:rPr>
          <w:rFonts w:ascii="Arial" w:hAnsi="Arial" w:eastAsia="Arial" w:cs="Arial"/>
          <w:lang w:val="en-GB" w:eastAsia="en-GB" w:bidi="en-GB"/>
        </w:rPr>
        <w:t xml:space="preserve">Good knowledge of legislation regarding health and safety issues at work and in public places.</w:t>
      </w:r>
    </w:p>
    <w:p>
      <w:pPr>
        <w:pStyle w:val="Normal"/>
        <w:numPr>
          <w:ilvl w:val="0"/>
          <w:numId w:val="4"/>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lang w:val="en-GB" w:eastAsia="en-GB" w:bidi="en-GB"/>
        </w:rPr>
      </w:pPr>
      <w:r>
        <w:rPr>
          <w:rFonts w:ascii="Arial" w:hAnsi="Arial" w:eastAsia="Arial" w:cs="Arial"/>
          <w:lang w:val="en-GB" w:eastAsia="en-GB" w:bidi="en-GB"/>
        </w:rPr>
        <w:t xml:space="preserve">Flexibility to work unsocial hours, including weekends and evenings to meet the needs of the service.</w:t>
      </w:r>
    </w:p>
    <w:p>
      <w:pPr>
        <w:pStyle w:val="Normal"/>
        <w:numPr>
          <w:ilvl w:val="0"/>
          <w:numId w:val="4"/>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lang w:val="en-GB" w:eastAsia="en-GB" w:bidi="en-GB"/>
        </w:rPr>
      </w:pPr>
      <w:r>
        <w:rPr>
          <w:rFonts w:ascii="Arial" w:hAnsi="Arial" w:eastAsia="Arial" w:cs="Arial"/>
          <w:lang w:val="en-GB" w:eastAsia="en-GB" w:bidi="en-GB"/>
        </w:rPr>
        <w:t xml:space="preserve">Knowledge of legislation and operational working practices associated with the delivery of burial and cremation services</w:t>
      </w:r>
    </w:p>
    <w:p>
      <w:pPr>
        <w:pStyle w:val="Normal"/>
        <w:numPr>
          <w:ilvl w:val="0"/>
          <w:numId w:val="4"/>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rFonts w:ascii="Arial" w:hAnsi="Arial" w:eastAsia="Arial" w:cs="Arial"/>
          <w:lang w:val="en-GB" w:eastAsia="en-GB" w:bidi="en-GB"/>
        </w:rPr>
      </w:pPr>
      <w:r>
        <w:rPr>
          <w:rFonts w:ascii="Arial" w:hAnsi="Arial" w:eastAsia="Arial" w:cs="Arial"/>
          <w:lang w:val="en-GB" w:eastAsia="en-GB" w:bidi="en-GB"/>
        </w:rPr>
        <w:t xml:space="preserve">Driving between cemetery sites</w:t>
      </w:r>
    </w:p>
    <w:p>
      <w:pPr>
        <w:pStyle w:val="Normal"/>
        <w:numPr>
          <w:ilvl w:val="0"/>
          <w:numId w:val="5"/>
        </w:numPr>
        <w:tabs>
          <w:tab w:val="left" w:pos="35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hanging="357"/>
        <w:rPr>
          <w:lang w:val="en-GB" w:eastAsia="en-GB" w:bidi="en-GB"/>
        </w:rPr>
      </w:pPr>
      <w:r>
        <w:rPr>
          <w:rFonts w:ascii="Arial" w:hAnsi="Arial" w:eastAsia="Arial" w:cs="Arial"/>
          <w:color w:val="000000"/>
          <w:lang w:val="en-GB" w:eastAsia="en-GB" w:bidi="en-GB"/>
        </w:rPr>
        <w:t xml:space="preserve">Full UK driving licence or simila</w:t>
      </w:r>
      <w:r>
        <w:rPr>
          <w:rFonts w:ascii="Calibri" w:hAnsi="Calibri" w:eastAsia="Calibri" w:cs="Calibri"/>
          <w:color w:val="000000"/>
          <w:lang w:val="en-GB" w:eastAsia="en-GB" w:bidi="en-GB"/>
        </w:rPr>
        <w:t xml:space="preser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6"/>
      <w:footerReference w:type="default" r:id="rId00007"/>
      <w:pgSz w:w="11906" w:h="16838"/>
      <w:pgMar w:top="1440" w:right="1797" w:bottom="1440" w:left="1797"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clear" w:pos="8306"/>
        <w:tab w:val="right" w:pos="8312"/>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8306"/>
        <w:tab w:val="right" w:pos="8312"/>
      </w:tabs>
      <w:jc w:val="right"/>
      <w:rPr>
        <w:b/>
        <w:bCs/>
        <w:sz w:val="16"/>
        <w:szCs w:val="16"/>
        <w:lang w:val="en-GB" w:eastAsia="en-GB" w:bidi="en-GB"/>
      </w:rPr>
    </w:pPr>
    <w:r>
      <w:rPr>
        <w:lang w:val="en-GB" w:eastAsia="en-GB" w:bidi="en-GB"/>
      </w:rPr>
      <w:drawing>
        <wp:inline distT="0" distB="0" distL="0" distR="0">
          <wp:extent cx="2183130" cy="40894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3130" cy="408940"/>
                  </a:xfrm>
                  <a:prstGeom prst="rect">
                    <a:avLst/>
                  </a:prstGeom>
                </pic:spPr>
              </pic:pic>
            </a:graphicData>
          </a:graphic>
        </wp:inline>
      </w:drawing>
    </w:r>
  </w:p>
  <w:p>
    <w:pPr>
      <w:pStyle w:val="Header"/>
      <w:tabs>
        <w:tab w:val="clear" w:pos="8306"/>
        <w:tab w:val="right" w:pos="8312"/>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357" w:hanging="357"/>
        <w:tabs>
          <w:tab w:val="num" w:pos="357"/>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57" w:hanging="357"/>
        <w:tabs>
          <w:tab w:val="num" w:pos="357"/>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BlockText">
    <w:name w:val="Block Text"/>
    <w:basedOn w:val="Normal"/>
    <w:next w:val="BlockText"/>
    <w:qFormat/>
    <w:pPr>
      <w:ind w:left="360" w:right="67" w:hanging="360"/>
    </w:pPr>
    <w:rPr>
      <w:rFonts w:ascii="Arial" w:hAnsi="Arial" w:eastAsia="Arial" w:cs="Arial"/>
      <w:color w:val="000000"/>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harpers</dc:creator>
  <dcterms:created xsi:type="dcterms:W3CDTF">2021-05-19T14:34:00Z</dcterms:created>
</cp:coreProperties>
</file>